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SOSIOLOGI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Sosiologi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Ketimpangan Sosial Struktural Akibat Perubahan Sosial di Era Modern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faktor penyebab timbulnya ketimpangan sosial (struktural, kultural, demografis, dan ketimpangan akses sumber daya ekonomi).</w:t>
      </w:r>
    </w:p>
    <w:p>
      <w:pPr>
        <w:pStyle w:val="ListNumber"/>
      </w:pPr>
      <w:r>
        <w:rPr>
          <w:rFonts w:ascii="Calibri" w:hAnsi="Calibri"/>
          <w:b w:val="0"/>
          <w:i w:val="0"/>
          <w:color w:val="000000"/>
          <w:sz w:val="19"/>
        </w:rPr>
        <w:t>Menganalisis bentuk-bentuk ketimpangan nyata dalam masyarakat: ketimpangan pendapatan (Koefisien Gini), kesenjangan desa-kota (*urban bias*), kesenjangan gender, dan jurang digital (*digital divide*).</w:t>
      </w:r>
    </w:p>
    <w:p>
      <w:pPr>
        <w:pStyle w:val="ListNumber"/>
      </w:pPr>
      <w:r>
        <w:rPr>
          <w:rFonts w:ascii="Calibri" w:hAnsi="Calibri"/>
          <w:b w:val="0"/>
          <w:i w:val="0"/>
          <w:color w:val="000000"/>
          <w:sz w:val="19"/>
        </w:rPr>
        <w:t>Merumuskan alternatif solusi sosiologis dan kebijakan afirmatif untuk mempersempit jurang ketimpangan dan memperkuat integrasi sosial.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bentuk ketimpangan sosial (ekonomi, gender, desa-kota, digital divide), koefisien Gini, kemiskinan kultural vs struktural, dan advokasi keadilan sosial.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Faktor Penyebab dan Teori Ketimpangan Sosial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Pendekatan Teori Kolonialisme, Teori Ketergantungan (Dependency Theory), Teori Sistem Dunia Immanuel Wallerstein, dan kemiskinan struktural.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Bentuk Ketimpangan: Ekonomi, Spasial Desa-Kota, dan Digital Divide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Pengukuran Koefisien Gini, Kurva Lorenz, kesenjangan infrastruktur wilayah 3T, dan ketimpangan literasi teknologi informasi.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Upaya Mengatasi Ketimpangan dan Kebijakan Afirmatif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Peran Bantuan Sosial Terpadu, pendidikan vokasi inklusif, redistribusi aset agraria, dan pemberdayaan ekonomi kerakyatan.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Masyarakat di sebuah desa terpencil hidup dalam kemiskinan turun-temurun bukan karena malas bekerja, melainkan karena ketiadaan jalan raya, tidak adanya jaringan listrik, minimnya sekolah, dan sulitnya sertifikasi hak atas tanah mereka. Kondisi kemiskinan ini dalam sosiologi dikategorikan sebagai...</w:t>
      </w:r>
    </w:p>
    <w:p>
      <w:pPr>
        <w:spacing w:before="0" w:after="20"/>
        <w:ind w:left="576"/>
      </w:pPr>
      <w:r>
        <w:rPr>
          <w:rFonts w:ascii="Calibri" w:hAnsi="Calibri"/>
          <w:b w:val="0"/>
          <w:i w:val="0"/>
          <w:color w:val="000000"/>
          <w:sz w:val="18"/>
        </w:rPr>
        <w:t>A. Kemiskinan Kultural</w:t>
      </w:r>
    </w:p>
    <w:p>
      <w:pPr>
        <w:spacing w:before="0" w:after="20"/>
        <w:ind w:left="576"/>
      </w:pPr>
      <w:r>
        <w:rPr>
          <w:rFonts w:ascii="Calibri" w:hAnsi="Calibri"/>
          <w:b w:val="0"/>
          <w:i w:val="0"/>
          <w:color w:val="000000"/>
          <w:sz w:val="18"/>
        </w:rPr>
        <w:t>B. Kemiskinan Struktural</w:t>
      </w:r>
    </w:p>
    <w:p>
      <w:pPr>
        <w:spacing w:before="0" w:after="20"/>
        <w:ind w:left="576"/>
      </w:pPr>
      <w:r>
        <w:rPr>
          <w:rFonts w:ascii="Calibri" w:hAnsi="Calibri"/>
          <w:b w:val="0"/>
          <w:i w:val="0"/>
          <w:color w:val="000000"/>
          <w:sz w:val="18"/>
        </w:rPr>
        <w:t>C. Kemiskinan Subjektif</w:t>
      </w:r>
    </w:p>
    <w:p>
      <w:pPr>
        <w:spacing w:before="0" w:after="20"/>
        <w:ind w:left="576"/>
      </w:pPr>
      <w:r>
        <w:rPr>
          <w:rFonts w:ascii="Calibri" w:hAnsi="Calibri"/>
          <w:b w:val="0"/>
          <w:i w:val="0"/>
          <w:color w:val="000000"/>
          <w:sz w:val="18"/>
        </w:rPr>
        <w:t>D. Kemiskinan Sementara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Kemiskinan struktural disebabkan oleh kegagalan sistemik dan ketidakadilan struktur kelembagaan/infrastruktur yang membelenggu masyarakat dari akses mobilitas sosial vertikal.</w:t>
      </w:r>
    </w:p>
    <w:p>
      <w:pPr>
        <w:spacing w:before="80" w:after="40"/>
        <w:ind w:left="216"/>
      </w:pPr>
      <w:r>
        <w:rPr>
          <w:rFonts w:ascii="Calibri" w:hAnsi="Calibri"/>
          <w:b/>
          <w:color w:val="000000"/>
          <w:sz w:val="19"/>
        </w:rPr>
        <w:t xml:space="preserve">2. </w:t>
      </w:r>
      <w:r>
        <w:rPr>
          <w:rFonts w:ascii="Calibri" w:hAnsi="Calibri"/>
          <w:b w:val="0"/>
          <w:i w:val="0"/>
          <w:color w:val="000000"/>
          <w:sz w:val="19"/>
        </w:rPr>
        <w:t>Jika suatu negara memiliki nilai Koefisien Gini sebesar 0,48, interpretasi sosiologis dan ekonomi mengenai tingkat ketimpangan distribusi pendapatan di negara tersebut adalah...</w:t>
      </w:r>
    </w:p>
    <w:p>
      <w:pPr>
        <w:spacing w:before="0" w:after="20"/>
        <w:ind w:left="576"/>
      </w:pPr>
      <w:r>
        <w:rPr>
          <w:rFonts w:ascii="Calibri" w:hAnsi="Calibri"/>
          <w:b w:val="0"/>
          <w:i w:val="0"/>
          <w:color w:val="000000"/>
          <w:sz w:val="18"/>
        </w:rPr>
        <w:t>A. Terjadi pemerataan pendapatan yang sempurna.</w:t>
      </w:r>
    </w:p>
    <w:p>
      <w:pPr>
        <w:spacing w:before="0" w:after="20"/>
        <w:ind w:left="576"/>
      </w:pPr>
      <w:r>
        <w:rPr>
          <w:rFonts w:ascii="Calibri" w:hAnsi="Calibri"/>
          <w:b w:val="0"/>
          <w:i w:val="0"/>
          <w:color w:val="000000"/>
          <w:sz w:val="18"/>
        </w:rPr>
        <w:t>B. Berada pada kategori tingkat ketimpangan pendapatan sedang menuju tinggi (di atas 0,40 menunjukkan ketimpangan yang cukup mencolok).</w:t>
      </w:r>
    </w:p>
    <w:p>
      <w:pPr>
        <w:spacing w:before="0" w:after="20"/>
        <w:ind w:left="576"/>
      </w:pPr>
      <w:r>
        <w:rPr>
          <w:rFonts w:ascii="Calibri" w:hAnsi="Calibri"/>
          <w:b w:val="0"/>
          <w:i w:val="0"/>
          <w:color w:val="000000"/>
          <w:sz w:val="18"/>
        </w:rPr>
        <w:t>C. Seluruh kekayaan negara terbagi rata kepada semua penduduk.</w:t>
      </w:r>
    </w:p>
    <w:p>
      <w:pPr>
        <w:spacing w:before="0" w:after="20"/>
        <w:ind w:left="576"/>
      </w:pPr>
      <w:r>
        <w:rPr>
          <w:rFonts w:ascii="Calibri" w:hAnsi="Calibri"/>
          <w:b w:val="0"/>
          <w:i w:val="0"/>
          <w:color w:val="000000"/>
          <w:sz w:val="18"/>
        </w:rPr>
        <w:t>D. Negara tersebut tidak memiliki mata uang.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Berdasarkan standar Bank Dunia, angka Gini Ratio 0,4–0,5 menunjukkan derajat ketimpangan pendapatan yang tergolong tinggi.</w:t>
      </w:r>
    </w:p>
    <w:p>
      <w:pPr>
        <w:spacing w:before="80" w:after="40"/>
        <w:ind w:left="216"/>
      </w:pPr>
      <w:r>
        <w:rPr>
          <w:rFonts w:ascii="Calibri" w:hAnsi="Calibri"/>
          <w:b/>
          <w:color w:val="000000"/>
          <w:sz w:val="19"/>
        </w:rPr>
        <w:t xml:space="preserve">3. </w:t>
      </w:r>
      <w:r>
        <w:rPr>
          <w:rFonts w:ascii="Calibri" w:hAnsi="Calibri"/>
          <w:b w:val="0"/>
          <w:i w:val="0"/>
          <w:color w:val="000000"/>
          <w:sz w:val="19"/>
        </w:rPr>
        <w:t>Teori Sistem Dunia (World Systems Theory) yang dirumuskan oleh Immanuel Wallerstein menjelaskan ketimpangan global antara negara-negara di dunia dengan membagi negara ke dalam tiga zona, yaitu...</w:t>
      </w:r>
    </w:p>
    <w:p>
      <w:pPr>
        <w:spacing w:before="0" w:after="20"/>
        <w:ind w:left="576"/>
      </w:pPr>
      <w:r>
        <w:rPr>
          <w:rFonts w:ascii="Calibri" w:hAnsi="Calibri"/>
          <w:b w:val="0"/>
          <w:i w:val="0"/>
          <w:color w:val="000000"/>
          <w:sz w:val="18"/>
        </w:rPr>
        <w:t>A. Negara Maju, Negara Berkembang, dan Negara Miskin</w:t>
      </w:r>
    </w:p>
    <w:p>
      <w:pPr>
        <w:spacing w:before="0" w:after="20"/>
        <w:ind w:left="576"/>
      </w:pPr>
      <w:r>
        <w:rPr>
          <w:rFonts w:ascii="Calibri" w:hAnsi="Calibri"/>
          <w:b w:val="0"/>
          <w:i w:val="0"/>
          <w:color w:val="000000"/>
          <w:sz w:val="18"/>
        </w:rPr>
        <w:t>B. Negara Pusat (Core), Negara Semi-Pinggiran (Semi-Periphery), dan Negara Pinggiran (Periphery)</w:t>
      </w:r>
    </w:p>
    <w:p>
      <w:pPr>
        <w:spacing w:before="0" w:after="20"/>
        <w:ind w:left="576"/>
      </w:pPr>
      <w:r>
        <w:rPr>
          <w:rFonts w:ascii="Calibri" w:hAnsi="Calibri"/>
          <w:b w:val="0"/>
          <w:i w:val="0"/>
          <w:color w:val="000000"/>
          <w:sz w:val="18"/>
        </w:rPr>
        <w:t>C. Negara Tropis, Subtropis, dan Kutub</w:t>
      </w:r>
    </w:p>
    <w:p>
      <w:pPr>
        <w:spacing w:before="0" w:after="20"/>
        <w:ind w:left="576"/>
      </w:pPr>
      <w:r>
        <w:rPr>
          <w:rFonts w:ascii="Calibri" w:hAnsi="Calibri"/>
          <w:b w:val="0"/>
          <w:i w:val="0"/>
          <w:color w:val="000000"/>
          <w:sz w:val="18"/>
        </w:rPr>
        <w:t>D. Negara Industri, Pertanian, dan Maritim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Wallerstein membagi tata dunia menjadi Negara Inti/Pusat (Core yang menguasai modal dan teknologi canggih), Pinggiran (Periphery pemasok bahan mentah murah dan tenaga kerja), serta Semi-Pinggiran.</w:t>
      </w:r>
    </w:p>
    <w:p>
      <w:pPr>
        <w:spacing w:before="80" w:after="40"/>
        <w:ind w:left="216"/>
      </w:pPr>
      <w:r>
        <w:rPr>
          <w:rFonts w:ascii="Calibri" w:hAnsi="Calibri"/>
          <w:b/>
          <w:color w:val="000000"/>
          <w:sz w:val="19"/>
        </w:rPr>
        <w:t xml:space="preserve">4. </w:t>
      </w:r>
      <w:r>
        <w:rPr>
          <w:rFonts w:ascii="Calibri" w:hAnsi="Calibri"/>
          <w:b w:val="0"/>
          <w:i w:val="0"/>
          <w:color w:val="000000"/>
          <w:sz w:val="19"/>
        </w:rPr>
        <w:t>Dampak dari kesenjangan digital (Digital Divide) dalam sektor pendidikan selama masa pembelajaran jarak jauh adalah...</w:t>
      </w:r>
    </w:p>
    <w:p>
      <w:pPr>
        <w:spacing w:before="0" w:after="20"/>
        <w:ind w:left="576"/>
      </w:pPr>
      <w:r>
        <w:rPr>
          <w:rFonts w:ascii="Calibri" w:hAnsi="Calibri"/>
          <w:b w:val="0"/>
          <w:i w:val="0"/>
          <w:color w:val="000000"/>
          <w:sz w:val="18"/>
        </w:rPr>
        <w:t>A. Seluruh siswa di seluruh Indonesia mendapatkan nilai ujian yang seragam.</w:t>
      </w:r>
    </w:p>
    <w:p>
      <w:pPr>
        <w:spacing w:before="0" w:after="20"/>
        <w:ind w:left="576"/>
      </w:pPr>
      <w:r>
        <w:rPr>
          <w:rFonts w:ascii="Calibri" w:hAnsi="Calibri"/>
          <w:b w:val="0"/>
          <w:i w:val="0"/>
          <w:color w:val="000000"/>
          <w:sz w:val="18"/>
        </w:rPr>
        <w:t>B. Memperlebar kesenjangan capaian akademik (*learning loss*) antara siswa di perkotaan yang memiliki akses internet cepat dengan siswa di wilayah 3T yang terkendala infrastruktur gawai dan sinyal.</w:t>
      </w:r>
    </w:p>
    <w:p>
      <w:pPr>
        <w:spacing w:before="0" w:after="20"/>
        <w:ind w:left="576"/>
      </w:pPr>
      <w:r>
        <w:rPr>
          <w:rFonts w:ascii="Calibri" w:hAnsi="Calibri"/>
          <w:b w:val="0"/>
          <w:i w:val="0"/>
          <w:color w:val="000000"/>
          <w:sz w:val="18"/>
        </w:rPr>
        <w:t>C. Berkurangnya minat membaca buku perpustakaan.</w:t>
      </w:r>
    </w:p>
    <w:p>
      <w:pPr>
        <w:spacing w:before="0" w:after="20"/>
        <w:ind w:left="576"/>
      </w:pPr>
      <w:r>
        <w:rPr>
          <w:rFonts w:ascii="Calibri" w:hAnsi="Calibri"/>
          <w:b w:val="0"/>
          <w:i w:val="0"/>
          <w:color w:val="000000"/>
          <w:sz w:val="18"/>
        </w:rPr>
        <w:t>D. Meningkatnya jumlah gedung sekolah mewah di desa.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Kesenjangan digital menghambat akses terhadap platform belajar daring, menciptakan disparitas kualitas hasil belajar antardaerah secara signifikan.</w:t>
      </w:r>
    </w:p>
    <w:p>
      <w:pPr>
        <w:spacing w:before="80" w:after="40"/>
        <w:ind w:left="216"/>
      </w:pPr>
      <w:r>
        <w:rPr>
          <w:rFonts w:ascii="Calibri" w:hAnsi="Calibri"/>
          <w:b/>
          <w:color w:val="000000"/>
          <w:sz w:val="19"/>
        </w:rPr>
        <w:t xml:space="preserve">5. </w:t>
      </w:r>
      <w:r>
        <w:rPr>
          <w:rFonts w:ascii="Calibri" w:hAnsi="Calibri"/>
          <w:b w:val="0"/>
          <w:i w:val="0"/>
          <w:color w:val="000000"/>
          <w:sz w:val="19"/>
        </w:rPr>
        <w:t>Contoh tindakan nyata penerapan 'Kebijakan Afirmatif' (Affirmative Action) oleh pemerintah Indonesia untuk mengatasi ketimpangan pendidikan di daerah tertinggal adalah...</w:t>
      </w:r>
    </w:p>
    <w:p>
      <w:pPr>
        <w:spacing w:before="0" w:after="20"/>
        <w:ind w:left="576"/>
      </w:pPr>
      <w:r>
        <w:rPr>
          <w:rFonts w:ascii="Calibri" w:hAnsi="Calibri"/>
          <w:b w:val="0"/>
          <w:i w:val="0"/>
          <w:color w:val="000000"/>
          <w:sz w:val="18"/>
        </w:rPr>
        <w:t>A. Memberikan beasiswa afirmasi perguruan tinggi khusus bagi putra-putri daerah 3T dan Papua.</w:t>
      </w:r>
    </w:p>
    <w:p>
      <w:pPr>
        <w:spacing w:before="0" w:after="20"/>
        <w:ind w:left="576"/>
      </w:pPr>
      <w:r>
        <w:rPr>
          <w:rFonts w:ascii="Calibri" w:hAnsi="Calibri"/>
          <w:b w:val="0"/>
          <w:i w:val="0"/>
          <w:color w:val="000000"/>
          <w:sz w:val="18"/>
        </w:rPr>
        <w:t>B. Menutup seluruh universitas negeri di luar pulau Jawa.</w:t>
      </w:r>
    </w:p>
    <w:p>
      <w:pPr>
        <w:spacing w:before="0" w:after="20"/>
        <w:ind w:left="576"/>
      </w:pPr>
      <w:r>
        <w:rPr>
          <w:rFonts w:ascii="Calibri" w:hAnsi="Calibri"/>
          <w:b w:val="0"/>
          <w:i w:val="0"/>
          <w:color w:val="000000"/>
          <w:sz w:val="18"/>
        </w:rPr>
        <w:t>C. Menaikkan biaya SPP sekolah di daerah pelosok.</w:t>
      </w:r>
    </w:p>
    <w:p>
      <w:pPr>
        <w:spacing w:before="0" w:after="20"/>
        <w:ind w:left="576"/>
      </w:pPr>
      <w:r>
        <w:rPr>
          <w:rFonts w:ascii="Calibri" w:hAnsi="Calibri"/>
          <w:b w:val="0"/>
          <w:i w:val="0"/>
          <w:color w:val="000000"/>
          <w:sz w:val="18"/>
        </w:rPr>
        <w:t>D. Mewajibkan seluruh siswa membeli laptop paling mahal.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Program beasiswa ADik (Afirmasi Pendidikan Tinggi) memberikan kuota dan pembinaan khusus bagi siswa daerah 3T untuk mengejar ketertinggalan pendidikan tinggi secara berkeadilan.</w:t>
      </w:r>
    </w:p>
    <w:p>
      <w:r>
        <w:br w:type="page"/>
      </w:r>
    </w:p>
    <w:p>
      <w:pPr>
        <w:pStyle w:val="Title"/>
      </w:pPr>
      <w:r>
        <w:t>LEMBAR KERJA PESERTA DIDIK (LKPD)</w:t>
      </w:r>
    </w:p>
    <w:p>
      <w:pPr>
        <w:pStyle w:val="Subtitle"/>
      </w:pPr>
      <w:r>
        <w:t>Mata Pelajaran: Sosiologi • Bab 3: Ketimpangan Sosial Struktural Akibat Perubahan Sosial di Era Modern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Faktor Penyebab dan Teori Ketimpangan Sosial</w:t>
      </w:r>
    </w:p>
    <w:p>
      <w:pPr>
        <w:spacing w:before="20" w:after="60"/>
        <w:ind w:left="216"/>
      </w:pPr>
      <w:r>
        <w:rPr>
          <w:rFonts w:ascii="Calibri" w:hAnsi="Calibri"/>
          <w:color w:val="000000"/>
          <w:sz w:val="18"/>
        </w:rPr>
        <w:t xml:space="preserve">Petunjuk: </w:t>
      </w:r>
      <w:r>
        <w:rPr>
          <w:rFonts w:ascii="Calibri" w:hAnsi="Calibri"/>
          <w:b w:val="0"/>
          <w:i w:val="0"/>
          <w:color w:val="000000"/>
          <w:sz w:val="18"/>
        </w:rPr>
        <w:t>Pendekatan Teori Kolonialisme, Teori Ketergantungan (Dependency Theory), Teori Sistem Dunia Immanuel Wallerstein, dan kemiskinan struktural.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Bentuk Ketimpangan: Ekonomi, Spasial Desa-Kota, dan Digital Divide</w:t>
      </w:r>
    </w:p>
    <w:p>
      <w:pPr>
        <w:spacing w:before="20" w:after="60"/>
        <w:ind w:left="216"/>
      </w:pPr>
      <w:r>
        <w:rPr>
          <w:rFonts w:ascii="Calibri" w:hAnsi="Calibri"/>
          <w:color w:val="000000"/>
          <w:sz w:val="18"/>
        </w:rPr>
        <w:t xml:space="preserve">Petunjuk: </w:t>
      </w:r>
      <w:r>
        <w:rPr>
          <w:rFonts w:ascii="Calibri" w:hAnsi="Calibri"/>
          <w:b w:val="0"/>
          <w:i w:val="0"/>
          <w:color w:val="000000"/>
          <w:sz w:val="18"/>
        </w:rPr>
        <w:t>Pengukuran Koefisien Gini, Kurva Lorenz, kesenjangan infrastruktur wilayah 3T, dan ketimpangan literasi teknologi informasi.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Upaya Mengatasi Ketimpangan dan Kebijakan Afirmatif</w:t>
      </w:r>
    </w:p>
    <w:p>
      <w:pPr>
        <w:spacing w:before="20" w:after="60"/>
        <w:ind w:left="216"/>
      </w:pPr>
      <w:r>
        <w:rPr>
          <w:rFonts w:ascii="Calibri" w:hAnsi="Calibri"/>
          <w:color w:val="000000"/>
          <w:sz w:val="18"/>
        </w:rPr>
        <w:t xml:space="preserve">Petunjuk: </w:t>
      </w:r>
      <w:r>
        <w:rPr>
          <w:rFonts w:ascii="Calibri" w:hAnsi="Calibri"/>
          <w:b w:val="0"/>
          <w:i w:val="0"/>
          <w:color w:val="000000"/>
          <w:sz w:val="18"/>
        </w:rPr>
        <w:t>Peran Bantuan Sosial Terpadu, pendidikan vokasi inklusif, redistribusi aset agraria, dan pemberdayaan ekonomi kerakyatan.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Ketimpangan sosial (*social inequality*) merupakan kondisi ketidakseimbangan atau jurang pemisah yang lebar dalam masyarakat terkait dengan distribusi peluang, akses terhadap sumber daya ekonomi, layanan pendidikan berkualitas, fasilitas kesehatan, dan kekuasaan politik. Pada jenjang SMA Kelas 12, peserta didik mempelajari bagaimana perubahan sosial dan globalisasi yang tidak merata dapat memperdalam jurang stratifikasi sosial.</w:t>
      </w:r>
    </w:p>
    <w:p>
      <w:pPr>
        <w:spacing w:before="40" w:after="60" w:line="276" w:lineRule="auto"/>
      </w:pPr>
      <w:r>
        <w:rPr>
          <w:rFonts w:ascii="Calibri" w:hAnsi="Calibri"/>
          <w:b w:val="0"/>
          <w:i w:val="0"/>
          <w:color w:val="000000"/>
          <w:sz w:val="19"/>
        </w:rPr>
        <w:t>Peserta didik membedakan antara kemiskinan kultural (faktor mentalitas pasrah atau gaya hidup) dengan kemiskinan struktural yang berakar dari kebijakan publik yang diskriminatif, monopoli kepemilikan tanah/modal, dan ketiadaan akses permodalan bagi kelompok rentan. Analisis kuantitatif diperkenalkan melalui interpretasi Kurva Lorenz dan Koefisien Gini untuk mengukur rasio ketimpangan distribusi pendapatan nasional.</w:t>
      </w:r>
    </w:p>
    <w:p>
      <w:pPr>
        <w:spacing w:before="40" w:after="60" w:line="276" w:lineRule="auto"/>
      </w:pPr>
      <w:r>
        <w:rPr>
          <w:rFonts w:ascii="Calibri" w:hAnsi="Calibri"/>
          <w:b w:val="0"/>
          <w:i w:val="0"/>
          <w:color w:val="000000"/>
          <w:sz w:val="19"/>
        </w:rPr>
        <w:t>Materi juga membedah bentuk ketimpangan kontemporer seperti jurang digital (*digital divide*) yang dialami wilayah tertinggal, terdepan, dan terluar (3T), diskriminasi gender di ranah upah tenaga kerja, serta segregasi spasial antara kawasan pemukiman elit dengan pemukiman kumuh (*slum area*). Peserta didik dilatih untuk memiliki kepekaan advokasi sosial dan menjunjung nilai keadilan sosial bagi seluruh rakyat Indonesia.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Ketimpangan Sosial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Keadaan di mana terjadi disparitas atau ketidakseimbangan akses terhadap pemanfaatan sumber daya dan pemenuhan hak antar-kelompok dalam masyarakat.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Kemiskinan Struktural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Kemiskinan yang dialami oleh suatu kelompok masyarakat yang diakibatkan oleh struktur sosial atau kebijakan yang tidak adil dan membatasi akses mereka terhadap sumber daya ekonomi.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Koefisien Gini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Ukuran statistik ketimpangan distribusi pendapatan agregat yang bernilai antara 0 (pemerataan sempurna) hingga 1 (ketimpangan absolut mutlak).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Digital Divide (Kesenjangan Digital)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Jurang pemisah antara kelompok masyarakat yang memiliki akses mudah dan terampil terhadap teknologi informasi/internet dengan kelompok yang tidak memiliki akses.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Kebijakan Afirmatif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Langkah atau kebijakan khusus yang dirancang pemerintah untuk memberikan perlakuan istimewa kepada kelompok yang secara historis terpinggirkan guna mempercepat pemerataan.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Sosiologi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