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Kelompok Sosial di Masyarakat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dasar, syarat, dan pembentukan kelompok sosial di masyarakat.</w:t>
      </w:r>
    </w:p>
    <w:p>
      <w:pPr>
        <w:pStyle w:val="ListNumber"/>
      </w:pPr>
      <w:r>
        <w:rPr>
          <w:rFonts w:ascii="Calibri" w:hAnsi="Calibri"/>
          <w:b w:val="0"/>
          <w:i w:val="0"/>
          <w:color w:val="000000"/>
          <w:sz w:val="19"/>
        </w:rPr>
        <w:t>Peserta didik mampu mengklasifikasikan ragam tipe kelompok sosial berdasarkan perspektif teori sosiologi.</w:t>
      </w:r>
    </w:p>
    <w:p>
      <w:pPr>
        <w:pStyle w:val="ListNumber"/>
      </w:pPr>
      <w:r>
        <w:rPr>
          <w:rFonts w:ascii="Calibri" w:hAnsi="Calibri"/>
          <w:b w:val="0"/>
          <w:i w:val="0"/>
          <w:color w:val="000000"/>
          <w:sz w:val="19"/>
        </w:rPr>
        <w:t>Peserta didik mampu mengidentifikasi dinamika interaksi dan pola hubungan antarkelompok sosial di lingkungan sekitarnya.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Hakikat dan syarat terbentuknya kelompok sosial, klasifikasi kelompok menurut para sosiolog (Gemeinschaft &amp; Gesellschaft Ferdinand Tönnies, Primer &amp; Sekunder Charles Horton Cooley, In-Group &amp; Out-Group, Membership &amp; Reference Group), serta dinamika kelompok sosial.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Syarat, dan Ciri-Ciri Kelompok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interaksi timbal balik, kesadaran keanggotaan, dan struktur norma dalam kelompok.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Klasifikasi Tipe Kelompok Sosial Menurut Tokoh Sosiologi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Gemeinschaft vs Gesellschaft, Kelompok Primer vs Sekunder, dan In-Group vs Out-Group.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Membership Group dan Reference Group dalam Identitas Diri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perbedaan keanggotaan formal tercatat dengan kelompok acuan standar perilaku individu.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Dinamika dan Pola Hubungan Antarkelompok dalam Masyarakat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akulturasi, dominasi, paternalisme, pluralisme, dan integrasi antarkelompok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Ikatan sosial dalam masyarakat tradisional seperti hubungan kekeluargaan keluarga batih, ikatan kekerabatan marga, atau rukun tetangga pedesaan menurut Ferdinand Tönnies tergolong dalam tipe...</w:t>
      </w:r>
    </w:p>
    <w:p>
      <w:pPr>
        <w:spacing w:before="0" w:after="20"/>
        <w:ind w:left="576"/>
      </w:pPr>
      <w:r>
        <w:rPr>
          <w:rFonts w:ascii="Calibri" w:hAnsi="Calibri"/>
          <w:b w:val="0"/>
          <w:i w:val="0"/>
          <w:color w:val="000000"/>
          <w:sz w:val="18"/>
        </w:rPr>
        <w:t>Gemeinschaft (Paguyuban)</w:t>
      </w:r>
    </w:p>
    <w:p>
      <w:pPr>
        <w:spacing w:before="0" w:after="20"/>
        <w:ind w:left="576"/>
      </w:pPr>
      <w:r>
        <w:rPr>
          <w:rFonts w:ascii="Calibri" w:hAnsi="Calibri"/>
          <w:b w:val="0"/>
          <w:i w:val="0"/>
          <w:color w:val="000000"/>
          <w:sz w:val="18"/>
        </w:rPr>
        <w:t>Gesellschaft (Patembayan)</w:t>
      </w:r>
    </w:p>
    <w:p>
      <w:pPr>
        <w:spacing w:before="0" w:after="20"/>
        <w:ind w:left="576"/>
      </w:pPr>
      <w:r>
        <w:rPr>
          <w:rFonts w:ascii="Calibri" w:hAnsi="Calibri"/>
          <w:b w:val="0"/>
          <w:i w:val="0"/>
          <w:color w:val="000000"/>
          <w:sz w:val="18"/>
        </w:rPr>
        <w:t>Kelompok Sekunder Formal</w:t>
      </w:r>
    </w:p>
    <w:p>
      <w:pPr>
        <w:spacing w:before="0" w:after="20"/>
        <w:ind w:left="576"/>
      </w:pPr>
      <w:r>
        <w:rPr>
          <w:rFonts w:ascii="Calibri" w:hAnsi="Calibri"/>
          <w:b w:val="0"/>
          <w:i w:val="0"/>
          <w:color w:val="000000"/>
          <w:sz w:val="18"/>
        </w:rPr>
        <w:t>Massa Kerumunan Anomi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Gemeinschaft dicirikan oleh ikatan batiniah yang mendalam, alami, personal, dan kekal berdasarkan darah (*by blood*) atau tempat (*by place*).</w:t>
      </w:r>
    </w:p>
    <w:p>
      <w:pPr>
        <w:spacing w:before="80" w:after="40"/>
        <w:ind w:left="216"/>
      </w:pPr>
      <w:r>
        <w:rPr>
          <w:rFonts w:ascii="Calibri" w:hAnsi="Calibri"/>
          <w:b/>
          <w:color w:val="000000"/>
          <w:sz w:val="19"/>
        </w:rPr>
        <w:t xml:space="preserve">2. </w:t>
      </w:r>
      <w:r>
        <w:rPr>
          <w:rFonts w:ascii="Calibri" w:hAnsi="Calibri"/>
          <w:b w:val="0"/>
          <w:i w:val="0"/>
          <w:color w:val="000000"/>
          <w:sz w:val="19"/>
        </w:rPr>
        <w:t>Seorang remaja SMA yang sangat mengagumi grup musik rock dan selalu meniru gaya berpakaian, potongan rambut, serta tutur kata musisi tersebut meskipun ia tidak pernah bertemu langsung, menjadikan grup musik tersebut sebagai...</w:t>
      </w:r>
    </w:p>
    <w:p>
      <w:pPr>
        <w:spacing w:before="0" w:after="20"/>
        <w:ind w:left="576"/>
      </w:pPr>
      <w:r>
        <w:rPr>
          <w:rFonts w:ascii="Calibri" w:hAnsi="Calibri"/>
          <w:b w:val="0"/>
          <w:i w:val="0"/>
          <w:color w:val="000000"/>
          <w:sz w:val="18"/>
        </w:rPr>
        <w:t>Reference Group (Kelompok Acuan)</w:t>
      </w:r>
    </w:p>
    <w:p>
      <w:pPr>
        <w:spacing w:before="0" w:after="20"/>
        <w:ind w:left="576"/>
      </w:pPr>
      <w:r>
        <w:rPr>
          <w:rFonts w:ascii="Calibri" w:hAnsi="Calibri"/>
          <w:b w:val="0"/>
          <w:i w:val="0"/>
          <w:color w:val="000000"/>
          <w:sz w:val="18"/>
        </w:rPr>
        <w:t>Membership Group formal</w:t>
      </w:r>
    </w:p>
    <w:p>
      <w:pPr>
        <w:spacing w:before="0" w:after="20"/>
        <w:ind w:left="576"/>
      </w:pPr>
      <w:r>
        <w:rPr>
          <w:rFonts w:ascii="Calibri" w:hAnsi="Calibri"/>
          <w:b w:val="0"/>
          <w:i w:val="0"/>
          <w:color w:val="000000"/>
          <w:sz w:val="18"/>
        </w:rPr>
        <w:t>Out-group antipati</w:t>
      </w:r>
    </w:p>
    <w:p>
      <w:pPr>
        <w:spacing w:before="0" w:after="20"/>
        <w:ind w:left="576"/>
      </w:pPr>
      <w:r>
        <w:rPr>
          <w:rFonts w:ascii="Calibri" w:hAnsi="Calibri"/>
          <w:b w:val="0"/>
          <w:i w:val="0"/>
          <w:color w:val="000000"/>
          <w:sz w:val="18"/>
        </w:rPr>
        <w:t>Kelompok okupasional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Reference group adalah kelompok yang dijadikan standar rujukan moral, gaya hidup, atau norma oleh seseorang dalam bertindak.</w:t>
      </w:r>
    </w:p>
    <w:p>
      <w:pPr>
        <w:spacing w:before="80" w:after="40"/>
        <w:ind w:left="216"/>
      </w:pPr>
      <w:r>
        <w:rPr>
          <w:rFonts w:ascii="Calibri" w:hAnsi="Calibri"/>
          <w:b/>
          <w:color w:val="000000"/>
          <w:sz w:val="19"/>
        </w:rPr>
        <w:t xml:space="preserve">3. </w:t>
      </w:r>
      <w:r>
        <w:rPr>
          <w:rFonts w:ascii="Calibri" w:hAnsi="Calibri"/>
          <w:b w:val="0"/>
          <w:i w:val="0"/>
          <w:color w:val="000000"/>
          <w:sz w:val="19"/>
        </w:rPr>
        <w:t>Syarat mutlak terbentuknya sebuah kelompok sosial di dalam masyarakat menurut pandangan sosiologi adalah...</w:t>
      </w:r>
    </w:p>
    <w:p>
      <w:pPr>
        <w:spacing w:before="0" w:after="20"/>
        <w:ind w:left="576"/>
      </w:pPr>
      <w:r>
        <w:rPr>
          <w:rFonts w:ascii="Calibri" w:hAnsi="Calibri"/>
          <w:b w:val="0"/>
          <w:i w:val="0"/>
          <w:color w:val="000000"/>
          <w:sz w:val="18"/>
        </w:rPr>
        <w:t>Adanya kesadaran bersama bahwa setiap anggota merupakan bagian dari kelompok dan terdapat hubungan timbal balik yang intensif</w:t>
      </w:r>
    </w:p>
    <w:p>
      <w:pPr>
        <w:spacing w:before="0" w:after="20"/>
        <w:ind w:left="576"/>
      </w:pPr>
      <w:r>
        <w:rPr>
          <w:rFonts w:ascii="Calibri" w:hAnsi="Calibri"/>
          <w:b w:val="0"/>
          <w:i w:val="0"/>
          <w:color w:val="000000"/>
          <w:sz w:val="18"/>
        </w:rPr>
        <w:t>Harus memiliki kekayaan materi yang sama persis</w:t>
      </w:r>
    </w:p>
    <w:p>
      <w:pPr>
        <w:spacing w:before="0" w:after="20"/>
        <w:ind w:left="576"/>
      </w:pPr>
      <w:r>
        <w:rPr>
          <w:rFonts w:ascii="Calibri" w:hAnsi="Calibri"/>
          <w:b w:val="0"/>
          <w:i w:val="0"/>
          <w:color w:val="000000"/>
          <w:sz w:val="18"/>
        </w:rPr>
        <w:t>Wajib dipimpin oleh seorang pejabat pemerintah resmi</w:t>
      </w:r>
    </w:p>
    <w:p>
      <w:pPr>
        <w:spacing w:before="0" w:after="20"/>
        <w:ind w:left="576"/>
      </w:pPr>
      <w:r>
        <w:rPr>
          <w:rFonts w:ascii="Calibri" w:hAnsi="Calibri"/>
          <w:b w:val="0"/>
          <w:i w:val="0"/>
          <w:color w:val="000000"/>
          <w:sz w:val="18"/>
        </w:rPr>
        <w:t>Harus beranggotakan minimal satu juta orang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Syarat pokok: kesadaran bersama keanggotaan, relasi timbal balik, faktor pengikat, struktur norma, dan pola bersistem.</w:t>
      </w:r>
    </w:p>
    <w:p>
      <w:pPr>
        <w:spacing w:before="80" w:after="40"/>
        <w:ind w:left="216"/>
      </w:pPr>
      <w:r>
        <w:rPr>
          <w:rFonts w:ascii="Calibri" w:hAnsi="Calibri"/>
          <w:b/>
          <w:color w:val="000000"/>
          <w:sz w:val="19"/>
        </w:rPr>
        <w:t xml:space="preserve">4. </w:t>
      </w:r>
      <w:r>
        <w:rPr>
          <w:rFonts w:ascii="Calibri" w:hAnsi="Calibri"/>
          <w:b w:val="0"/>
          <w:i w:val="0"/>
          <w:color w:val="000000"/>
          <w:sz w:val="19"/>
        </w:rPr>
        <w:t>Perbedaan utama antara kelompok primer dengan kelompok sekunder menurut Charles Horton Cooley terletak pada...</w:t>
      </w:r>
    </w:p>
    <w:p>
      <w:pPr>
        <w:spacing w:before="0" w:after="20"/>
        <w:ind w:left="576"/>
      </w:pPr>
      <w:r>
        <w:rPr>
          <w:rFonts w:ascii="Calibri" w:hAnsi="Calibri"/>
          <w:b w:val="0"/>
          <w:i w:val="0"/>
          <w:color w:val="000000"/>
          <w:sz w:val="18"/>
        </w:rPr>
        <w:t>Kelompok primer bercirikan hubungan tatap muka intim dan afektif mendalam, sedangkan kelompok sekunder bersifat formal, impersonal, dan kontraktual</w:t>
      </w:r>
    </w:p>
    <w:p>
      <w:pPr>
        <w:spacing w:before="0" w:after="20"/>
        <w:ind w:left="576"/>
      </w:pPr>
      <w:r>
        <w:rPr>
          <w:rFonts w:ascii="Calibri" w:hAnsi="Calibri"/>
          <w:b w:val="0"/>
          <w:i w:val="0"/>
          <w:color w:val="000000"/>
          <w:sz w:val="18"/>
        </w:rPr>
        <w:t>Kelompok primer selalu beranggotakan orang asing yang saling bermusuhan</w:t>
      </w:r>
    </w:p>
    <w:p>
      <w:pPr>
        <w:spacing w:before="0" w:after="20"/>
        <w:ind w:left="576"/>
      </w:pPr>
      <w:r>
        <w:rPr>
          <w:rFonts w:ascii="Calibri" w:hAnsi="Calibri"/>
          <w:b w:val="0"/>
          <w:i w:val="0"/>
          <w:color w:val="000000"/>
          <w:sz w:val="18"/>
        </w:rPr>
        <w:t>Kelompok sekunder tidak memiliki aturan tata tertib sama sekali</w:t>
      </w:r>
    </w:p>
    <w:p>
      <w:pPr>
        <w:spacing w:before="0" w:after="20"/>
        <w:ind w:left="576"/>
      </w:pPr>
      <w:r>
        <w:rPr>
          <w:rFonts w:ascii="Calibri" w:hAnsi="Calibri"/>
          <w:b w:val="0"/>
          <w:i w:val="0"/>
          <w:color w:val="000000"/>
          <w:sz w:val="18"/>
        </w:rPr>
        <w:t>Kelompok primer hanya ditemukan di dunia maya internet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Kelompok primer (keluarga, teman sebaya) mengutamakan kedekatan emosional personal, sedangkan kelompok sekunder (organisasi profesi) fungsional.</w:t>
      </w:r>
    </w:p>
    <w:p>
      <w:pPr>
        <w:spacing w:before="80" w:after="40"/>
        <w:ind w:left="216"/>
      </w:pPr>
      <w:r>
        <w:rPr>
          <w:rFonts w:ascii="Calibri" w:hAnsi="Calibri"/>
          <w:b/>
          <w:color w:val="000000"/>
          <w:sz w:val="19"/>
        </w:rPr>
        <w:t xml:space="preserve">5. </w:t>
      </w:r>
      <w:r>
        <w:rPr>
          <w:rFonts w:ascii="Calibri" w:hAnsi="Calibri"/>
          <w:b w:val="0"/>
          <w:i w:val="0"/>
          <w:color w:val="000000"/>
          <w:sz w:val="19"/>
        </w:rPr>
        <w:t>Sikap etnosentrisme yang memandang kelompok sendiri lebih unggul dan memicu prasangka terhadap kelompok luar merupakan cerminan dari relasi perasaan...</w:t>
      </w:r>
    </w:p>
    <w:p>
      <w:pPr>
        <w:spacing w:before="0" w:after="20"/>
        <w:ind w:left="576"/>
      </w:pPr>
      <w:r>
        <w:rPr>
          <w:rFonts w:ascii="Calibri" w:hAnsi="Calibri"/>
          <w:b w:val="0"/>
          <w:i w:val="0"/>
          <w:color w:val="000000"/>
          <w:sz w:val="18"/>
        </w:rPr>
        <w:t>In-group feeling berlebihan yang melahirkan kecurigaan terhadap Out-group</w:t>
      </w:r>
    </w:p>
    <w:p>
      <w:pPr>
        <w:spacing w:before="0" w:after="20"/>
        <w:ind w:left="576"/>
      </w:pPr>
      <w:r>
        <w:rPr>
          <w:rFonts w:ascii="Calibri" w:hAnsi="Calibri"/>
          <w:b w:val="0"/>
          <w:i w:val="0"/>
          <w:color w:val="000000"/>
          <w:sz w:val="18"/>
        </w:rPr>
        <w:t>Gemeinschaft by mind yang harmonis</w:t>
      </w:r>
    </w:p>
    <w:p>
      <w:pPr>
        <w:spacing w:before="0" w:after="20"/>
        <w:ind w:left="576"/>
      </w:pPr>
      <w:r>
        <w:rPr>
          <w:rFonts w:ascii="Calibri" w:hAnsi="Calibri"/>
          <w:b w:val="0"/>
          <w:i w:val="0"/>
          <w:color w:val="000000"/>
          <w:sz w:val="18"/>
        </w:rPr>
        <w:t>Gesellschaft terbuka tanpa sekat</w:t>
      </w:r>
    </w:p>
    <w:p>
      <w:pPr>
        <w:spacing w:before="0" w:after="20"/>
        <w:ind w:left="576"/>
      </w:pPr>
      <w:r>
        <w:rPr>
          <w:rFonts w:ascii="Calibri" w:hAnsi="Calibri"/>
          <w:b w:val="0"/>
          <w:i w:val="0"/>
          <w:color w:val="000000"/>
          <w:sz w:val="18"/>
        </w:rPr>
        <w:t>Asimilasi budaya total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In-group feeling yang ekstrem kerap melahirkan prasangka negatif dan stereotip terhadap kelompok luar (*out-group*).</w:t>
      </w:r>
    </w:p>
    <w:p>
      <w:r>
        <w:br w:type="page"/>
      </w:r>
    </w:p>
    <w:p>
      <w:pPr>
        <w:pStyle w:val="Title"/>
      </w:pPr>
      <w:r>
        <w:t>LEMBAR KERJA PESERTA DIDIK (LKPD)</w:t>
      </w:r>
    </w:p>
    <w:p>
      <w:pPr>
        <w:pStyle w:val="Subtitle"/>
      </w:pPr>
      <w:r>
        <w:t>Mata Pelajaran: Sosiologi • Bab 1: Kelompok Sosial di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Syarat, dan Ciri-Ciri Kelompok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interaksi timbal balik, kesadaran keanggotaan, dan struktur norma dalam kelompok.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Klasifikasi Tipe Kelompok Sosial Menurut Tokoh Sosiologi</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Gemeinschaft vs Gesellschaft, Kelompok Primer vs Sekunder, dan In-Group vs Out-Group.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Membership Group dan Reference Group dalam Identitas Diri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perbedaan keanggotaan formal tercatat dengan kelompok acuan standar perilaku individu.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Dinamika dan Pola Hubungan Antarkelompok dalam Masyarakat</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akulturasi, dominasi, paternalisme, pluralisme, dan integrasi antarkelompok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Manusia sebagai *zoon politicon* secara kodrati memiliki naluri gregarius (*gregariousness*) untuk hidup bersama dalam kelompok sosial. Kelompok sosial terbentuk atas dasar kesadaran jenis, adanya hubungan timbal balik antaranggota, faktor pengikat bersama (kesamaan darah, daerah asal, atau kepentingan), serta struktur norma yang ditaati.</w:t>
      </w:r>
    </w:p>
    <w:p>
      <w:pPr>
        <w:spacing w:before="40" w:after="60" w:line="276" w:lineRule="auto"/>
      </w:pPr>
      <w:r>
        <w:rPr>
          <w:rFonts w:ascii="Calibri" w:hAnsi="Calibri"/>
          <w:b w:val="0"/>
          <w:i w:val="0"/>
          <w:color w:val="000000"/>
          <w:sz w:val="19"/>
        </w:rPr>
        <w:t>Ferdinand Tönnies mengklasifikasikan kelompok sosial menjadi *Gemeinschaft* (Paguyuban: ikatan batin murni, intim, privat, dan eksklusif berdasarkan ikatan darah, tempat, atau jiwa) dan *Gesellschaft* (Patembayan: ikatan lahiriah kontraktual pamrih rasional demi tujuan tertentu seperti serikat buruh atau perseroan terbatas).</w:t>
      </w:r>
    </w:p>
    <w:p>
      <w:pPr>
        <w:spacing w:before="40" w:after="60" w:line="276" w:lineRule="auto"/>
      </w:pPr>
      <w:r>
        <w:rPr>
          <w:rFonts w:ascii="Calibri" w:hAnsi="Calibri"/>
          <w:b w:val="0"/>
          <w:i w:val="0"/>
          <w:color w:val="000000"/>
          <w:sz w:val="19"/>
        </w:rPr>
        <w:t>Dinamika kelompok sosial dipengaruhi oleh kohesi internal, pola kepemimpinan, konformitas norma, serta relasi antarkelompok dalam masyarakat multikultural yang membentuk jaringan modal sosial (*social capital*).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Gemeinschaft (Paguyuban)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kehidupan bersama di mana anggota-anggotanya diikat oleh hubungan batin yang murni, alami, dan kekal (contoh: keluarga, kerabat adat).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Gesellschaft (Patembayan)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Ikatan sosial lahiriah yang bersifat kontraktual, mekanis, dan sementara untuk jangka waktu tertentu berdasarkan pamrih rasional (contoh: perusahaan).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Kelompok Primer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Kelompok sosial kecil yang ditandai oleh pergaulan erat, intim, tatap muka langsung, dan kerja sama mendalam (seperti keluarga dan sahabat karib).</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In-Group (Kelompok Sendiri)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Kelompok sosial di mana individu mengidentifikasikan dirinya dan merasakan simpati mendalam ('kita' atau 'kami').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Reference Group (Kelompok Acuan)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Kelompok sosial yang menjadi ukuran atau acuan standar bagi seseorang untuk membentuk kepribadian dan perilakunya meskipun ia bukan anggota formal.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