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Manajemen Pameran Seni Rupa di Lingkungan Sekolah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merencanakan dan mengorganisasikan pameran seni rupa di sekolah secara kolaboratif.</w:t>
      </w:r>
    </w:p>
    <w:p>
      <w:pPr>
        <w:pStyle w:val="ListNumber"/>
      </w:pPr>
      <w:r>
        <w:rPr>
          <w:rFonts w:ascii="Calibri" w:hAnsi="Calibri"/>
          <w:b w:val="0"/>
          <w:i w:val="0"/>
          <w:color w:val="000000"/>
          <w:sz w:val="19"/>
        </w:rPr>
        <w:t>Peserta didik mampu menata ruang pameran dengan memperhatikan alur sirkulasi dan pencahayaan karya yang nyaman.</w:t>
      </w:r>
    </w:p>
    <w:p>
      <w:pPr>
        <w:pStyle w:val="ListNumber"/>
      </w:pPr>
      <w:r>
        <w:rPr>
          <w:rFonts w:ascii="Calibri" w:hAnsi="Calibri"/>
          <w:b w:val="0"/>
          <w:i w:val="0"/>
          <w:color w:val="000000"/>
          <w:sz w:val="19"/>
        </w:rPr>
        <w:t>Peserta didik mampu menulis ulasan kritik seni rupa yang santun dan berbobot akademis.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perencanaan dan pengorganisasian pameran seni rupa sekolah, kepanitiaan, kurasi karya, tata letak ruang pamer (*display layout*), katalog, apresiasi, serta kritik seni rupa formatif.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Perencanaan dan Struktur Kepanitiaan Pameran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proposal kegiatan, anggaran biaya, pembagian seksi (kurator, dekorasi, publikasi, dokumentasi, konsumsi).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Kurasi Karya dan Pembuatan Katalog Pameran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Menyeleksi kelayakan karya 2D/3D siswa, menulis teks kuratorial, dan merancang buku katalog digital.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Tata Ruang Pameran dan Teknik Pencahayaan (Display &amp; Lighting)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Mengatur alur sirkulasi pengunjung, pemasangan panil partisi, level ketinggian mata (eye-level 150 cm), dan spot lighting.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Apresiasi dan Penulisan Kritik Seni Rupa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4 tahap kritik seni rupa (deskripsi, analisis formal, interpretasi, dan evaluasi) terhadap karya yang dipamerkan.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Tugas utama dari seorang kurator dalam kepanitiaan pameran seni rupa adalah...</w:t>
      </w:r>
    </w:p>
    <w:p>
      <w:pPr>
        <w:spacing w:before="0" w:after="20"/>
        <w:ind w:left="576"/>
      </w:pPr>
      <w:r>
        <w:rPr>
          <w:rFonts w:ascii="Calibri" w:hAnsi="Calibri"/>
          <w:b w:val="0"/>
          <w:i w:val="0"/>
          <w:color w:val="000000"/>
          <w:sz w:val="18"/>
        </w:rPr>
        <w:t>Menjual tiket masuk pameran di pintu gerbang</w:t>
      </w:r>
    </w:p>
    <w:p>
      <w:pPr>
        <w:spacing w:before="0" w:after="20"/>
        <w:ind w:left="576"/>
      </w:pPr>
      <w:r>
        <w:rPr>
          <w:rFonts w:ascii="Calibri" w:hAnsi="Calibri"/>
          <w:b w:val="0"/>
          <w:i w:val="0"/>
          <w:color w:val="000000"/>
          <w:sz w:val="18"/>
        </w:rPr>
        <w:t>Menyeleksi karya seni yang layak dipamerkan, merumuskan tema pameran, dan menulis catatan pengantar kuratorial</w:t>
      </w:r>
    </w:p>
    <w:p>
      <w:pPr>
        <w:spacing w:before="0" w:after="20"/>
        <w:ind w:left="576"/>
      </w:pPr>
      <w:r>
        <w:rPr>
          <w:rFonts w:ascii="Calibri" w:hAnsi="Calibri"/>
          <w:b w:val="0"/>
          <w:i w:val="0"/>
          <w:color w:val="000000"/>
          <w:sz w:val="18"/>
        </w:rPr>
        <w:t>Membuat konsumsi makanan untuk panitia</w:t>
      </w:r>
    </w:p>
    <w:p>
      <w:pPr>
        <w:spacing w:before="0" w:after="20"/>
        <w:ind w:left="576"/>
      </w:pPr>
      <w:r>
        <w:rPr>
          <w:rFonts w:ascii="Calibri" w:hAnsi="Calibri"/>
          <w:b w:val="0"/>
          <w:i w:val="0"/>
          <w:color w:val="000000"/>
          <w:sz w:val="18"/>
        </w:rPr>
        <w:t>Menjaga kebersihan lantai galeri setelah pameran usai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Kurator bertindak sebagai pengarah artistik yang memilih karya sesuai tema dan menyusun narasi kuratorial bagi pengunjung.</w:t>
      </w:r>
    </w:p>
    <w:p>
      <w:pPr>
        <w:spacing w:before="80" w:after="40"/>
        <w:ind w:left="216"/>
      </w:pPr>
      <w:r>
        <w:rPr>
          <w:rFonts w:ascii="Calibri" w:hAnsi="Calibri"/>
          <w:b/>
          <w:color w:val="000000"/>
          <w:sz w:val="19"/>
        </w:rPr>
        <w:t xml:space="preserve">2. </w:t>
      </w:r>
      <w:r>
        <w:rPr>
          <w:rFonts w:ascii="Calibri" w:hAnsi="Calibri"/>
          <w:b w:val="0"/>
          <w:i w:val="0"/>
          <w:color w:val="000000"/>
          <w:sz w:val="19"/>
        </w:rPr>
        <w:t>Standar ketinggian titik tengah karya lukisan 2D saat digantung di dinding pameran yang ideal sejajar dengan ketinggian mata rata-rata pengunjung (*eye-level*) berkisar antara...</w:t>
      </w:r>
    </w:p>
    <w:p>
      <w:pPr>
        <w:spacing w:before="0" w:after="20"/>
        <w:ind w:left="576"/>
      </w:pPr>
      <w:r>
        <w:rPr>
          <w:rFonts w:ascii="Calibri" w:hAnsi="Calibri"/>
          <w:b w:val="0"/>
          <w:i w:val="0"/>
          <w:color w:val="000000"/>
          <w:sz w:val="18"/>
        </w:rPr>
        <w:t>80–100 cm</w:t>
      </w:r>
    </w:p>
    <w:p>
      <w:pPr>
        <w:spacing w:before="0" w:after="20"/>
        <w:ind w:left="576"/>
      </w:pPr>
      <w:r>
        <w:rPr>
          <w:rFonts w:ascii="Calibri" w:hAnsi="Calibri"/>
          <w:b w:val="0"/>
          <w:i w:val="0"/>
          <w:color w:val="000000"/>
          <w:sz w:val="18"/>
        </w:rPr>
        <w:t>145–155 cm</w:t>
      </w:r>
    </w:p>
    <w:p>
      <w:pPr>
        <w:spacing w:before="0" w:after="20"/>
        <w:ind w:left="576"/>
      </w:pPr>
      <w:r>
        <w:rPr>
          <w:rFonts w:ascii="Calibri" w:hAnsi="Calibri"/>
          <w:b w:val="0"/>
          <w:i w:val="0"/>
          <w:color w:val="000000"/>
          <w:sz w:val="18"/>
        </w:rPr>
        <w:t>200–220 cm</w:t>
      </w:r>
    </w:p>
    <w:p>
      <w:pPr>
        <w:spacing w:before="0" w:after="20"/>
        <w:ind w:left="576"/>
      </w:pPr>
      <w:r>
        <w:rPr>
          <w:rFonts w:ascii="Calibri" w:hAnsi="Calibri"/>
          <w:b w:val="0"/>
          <w:i w:val="0"/>
          <w:color w:val="000000"/>
          <w:sz w:val="18"/>
        </w:rPr>
        <w:t>250–300 cm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Ketinggian pandang mata standar internasional (*eye-level*) pada galeri seni adalah 145–155 cm (rata-rata 150 cm) dari permukaan lantai.</w:t>
      </w:r>
    </w:p>
    <w:p>
      <w:pPr>
        <w:spacing w:before="80" w:after="40"/>
        <w:ind w:left="216"/>
      </w:pPr>
      <w:r>
        <w:rPr>
          <w:rFonts w:ascii="Calibri" w:hAnsi="Calibri"/>
          <w:b/>
          <w:color w:val="000000"/>
          <w:sz w:val="19"/>
        </w:rPr>
        <w:t xml:space="preserve">3. </w:t>
      </w:r>
      <w:r>
        <w:rPr>
          <w:rFonts w:ascii="Calibri" w:hAnsi="Calibri"/>
          <w:b w:val="0"/>
          <w:i w:val="0"/>
          <w:color w:val="000000"/>
          <w:sz w:val="19"/>
        </w:rPr>
        <w:t>Label kecil yang ditempelkan di samping setiap karya seni pameran (*caption/label*) biasanya memuat informasi berupa...</w:t>
      </w:r>
    </w:p>
    <w:p>
      <w:pPr>
        <w:spacing w:before="0" w:after="20"/>
        <w:ind w:left="576"/>
      </w:pPr>
      <w:r>
        <w:rPr>
          <w:rFonts w:ascii="Calibri" w:hAnsi="Calibri"/>
          <w:b w:val="0"/>
          <w:i w:val="0"/>
          <w:color w:val="000000"/>
          <w:sz w:val="18"/>
        </w:rPr>
        <w:t>Nama seniman, judul karya, tahun pembuatan, media/bahan, dan ukuran karya</w:t>
      </w:r>
    </w:p>
    <w:p>
      <w:pPr>
        <w:spacing w:before="0" w:after="20"/>
        <w:ind w:left="576"/>
      </w:pPr>
      <w:r>
        <w:rPr>
          <w:rFonts w:ascii="Calibri" w:hAnsi="Calibri"/>
          <w:b w:val="0"/>
          <w:i w:val="0"/>
          <w:color w:val="000000"/>
          <w:sz w:val="18"/>
        </w:rPr>
        <w:t>Daftar nomor telepon seluruh panitia</w:t>
      </w:r>
    </w:p>
    <w:p>
      <w:pPr>
        <w:spacing w:before="0" w:after="20"/>
        <w:ind w:left="576"/>
      </w:pPr>
      <w:r>
        <w:rPr>
          <w:rFonts w:ascii="Calibri" w:hAnsi="Calibri"/>
          <w:b w:val="0"/>
          <w:i w:val="0"/>
          <w:color w:val="000000"/>
          <w:sz w:val="18"/>
        </w:rPr>
        <w:t>Riwayat penyakit sang pelukis</w:t>
      </w:r>
    </w:p>
    <w:p>
      <w:pPr>
        <w:spacing w:before="0" w:after="20"/>
        <w:ind w:left="576"/>
      </w:pPr>
      <w:r>
        <w:rPr>
          <w:rFonts w:ascii="Calibri" w:hAnsi="Calibri"/>
          <w:b w:val="0"/>
          <w:i w:val="0"/>
          <w:color w:val="000000"/>
          <w:sz w:val="18"/>
        </w:rPr>
        <w:t>Alamat rumah kepala sekolah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Label identitas karya (*wall label*) wajib memuat nama pembuat, judul, tahun kreasi, media, dan dimensi karya.</w:t>
      </w:r>
    </w:p>
    <w:p>
      <w:pPr>
        <w:spacing w:before="80" w:after="40"/>
        <w:ind w:left="216"/>
      </w:pPr>
      <w:r>
        <w:rPr>
          <w:rFonts w:ascii="Calibri" w:hAnsi="Calibri"/>
          <w:b/>
          <w:color w:val="000000"/>
          <w:sz w:val="19"/>
        </w:rPr>
        <w:t xml:space="preserve">4. </w:t>
      </w:r>
      <w:r>
        <w:rPr>
          <w:rFonts w:ascii="Calibri" w:hAnsi="Calibri"/>
          <w:b w:val="0"/>
          <w:i w:val="0"/>
          <w:color w:val="000000"/>
          <w:sz w:val="19"/>
        </w:rPr>
        <w:t>Tahapan dalam kritik seni rupa yang mendeskripsikan secara objektif apa saja objek, warna, garis, dan bentuk yang terlihat kasat mata pada karya tanpa interpretasi subjektif adalah tahap...</w:t>
      </w:r>
    </w:p>
    <w:p>
      <w:pPr>
        <w:spacing w:before="0" w:after="20"/>
        <w:ind w:left="576"/>
      </w:pPr>
      <w:r>
        <w:rPr>
          <w:rFonts w:ascii="Calibri" w:hAnsi="Calibri"/>
          <w:b w:val="0"/>
          <w:i w:val="0"/>
          <w:color w:val="000000"/>
          <w:sz w:val="18"/>
        </w:rPr>
        <w:t>Deskripsi</w:t>
      </w:r>
    </w:p>
    <w:p>
      <w:pPr>
        <w:spacing w:before="0" w:after="20"/>
        <w:ind w:left="576"/>
      </w:pPr>
      <w:r>
        <w:rPr>
          <w:rFonts w:ascii="Calibri" w:hAnsi="Calibri"/>
          <w:b w:val="0"/>
          <w:i w:val="0"/>
          <w:color w:val="000000"/>
          <w:sz w:val="18"/>
        </w:rPr>
        <w:t>Analisis Formal</w:t>
      </w:r>
    </w:p>
    <w:p>
      <w:pPr>
        <w:spacing w:before="0" w:after="20"/>
        <w:ind w:left="576"/>
      </w:pPr>
      <w:r>
        <w:rPr>
          <w:rFonts w:ascii="Calibri" w:hAnsi="Calibri"/>
          <w:b w:val="0"/>
          <w:i w:val="0"/>
          <w:color w:val="000000"/>
          <w:sz w:val="18"/>
        </w:rPr>
        <w:t>Interpretasi</w:t>
      </w:r>
    </w:p>
    <w:p>
      <w:pPr>
        <w:spacing w:before="0" w:after="20"/>
        <w:ind w:left="576"/>
      </w:pPr>
      <w:r>
        <w:rPr>
          <w:rFonts w:ascii="Calibri" w:hAnsi="Calibri"/>
          <w:b w:val="0"/>
          <w:i w:val="0"/>
          <w:color w:val="000000"/>
          <w:sz w:val="18"/>
        </w:rPr>
        <w:t>Evaluasi / Penilaian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Tahap deskripsi adalah pencatatan fakta visual murni yang tampak pada karya tanpa memasukkan opini atau tebakan makna.</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penataan alur lalu lintas sirkulasi satu arah (*one-way circulation*) di ruang pameran adalah...</w:t>
      </w:r>
    </w:p>
    <w:p>
      <w:pPr>
        <w:spacing w:before="0" w:after="20"/>
        <w:ind w:left="576"/>
      </w:pPr>
      <w:r>
        <w:rPr>
          <w:rFonts w:ascii="Calibri" w:hAnsi="Calibri"/>
          <w:b w:val="0"/>
          <w:i w:val="0"/>
          <w:color w:val="000000"/>
          <w:sz w:val="18"/>
        </w:rPr>
        <w:t>Membingungkan pengunjung agar tersesat</w:t>
      </w:r>
    </w:p>
    <w:p>
      <w:pPr>
        <w:spacing w:before="0" w:after="20"/>
        <w:ind w:left="576"/>
      </w:pPr>
      <w:r>
        <w:rPr>
          <w:rFonts w:ascii="Calibri" w:hAnsi="Calibri"/>
          <w:b w:val="0"/>
          <w:i w:val="0"/>
          <w:color w:val="000000"/>
          <w:sz w:val="18"/>
        </w:rPr>
        <w:t>Memastikan pengunjung dapat menikmati setiap karya secara berurutan dan teratur tanpa terjadi penumpukan atau tabrakan arus</w:t>
      </w:r>
    </w:p>
    <w:p>
      <w:pPr>
        <w:spacing w:before="0" w:after="20"/>
        <w:ind w:left="576"/>
      </w:pPr>
      <w:r>
        <w:rPr>
          <w:rFonts w:ascii="Calibri" w:hAnsi="Calibri"/>
          <w:b w:val="0"/>
          <w:i w:val="0"/>
          <w:color w:val="000000"/>
          <w:sz w:val="18"/>
        </w:rPr>
        <w:t>Memaksa pengunjung berjalan cepat tanpa melihat karya</w:t>
      </w:r>
    </w:p>
    <w:p>
      <w:pPr>
        <w:spacing w:before="0" w:after="20"/>
        <w:ind w:left="576"/>
      </w:pPr>
      <w:r>
        <w:rPr>
          <w:rFonts w:ascii="Calibri" w:hAnsi="Calibri"/>
          <w:b w:val="0"/>
          <w:i w:val="0"/>
          <w:color w:val="000000"/>
          <w:sz w:val="18"/>
        </w:rPr>
        <w:t>Menghemat biaya listrik lampu penerangan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Sirkulasi satu arah memberikan kenyamanan bagi pengunjung untuk mengapresiasi alur cerita pameran secara nyaman dan tertib.</w:t>
      </w:r>
    </w:p>
    <w:p>
      <w:r>
        <w:br w:type="page"/>
      </w:r>
    </w:p>
    <w:p>
      <w:pPr>
        <w:pStyle w:val="Title"/>
      </w:pPr>
      <w:r>
        <w:t>LEMBAR KERJA PESERTA DIDIK (LKPD)</w:t>
      </w:r>
    </w:p>
    <w:p>
      <w:pPr>
        <w:pStyle w:val="Subtitle"/>
      </w:pPr>
      <w:r>
        <w:t>Mata Pelajaran: Seni Rupa • Bab 4: Manajemen Pameran Seni Rupa di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Perencanaan dan Struktur Kepanitiaan Pameran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proposal kegiatan, anggaran biaya, pembagian seksi (kurator, dekorasi, publikasi, dokumentasi, konsumsi).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Kurasi Karya dan Pembuatan Katalog Pameran</w:t>
      </w:r>
    </w:p>
    <w:p>
      <w:pPr>
        <w:spacing w:before="20" w:after="60"/>
        <w:ind w:left="216"/>
      </w:pPr>
      <w:r>
        <w:rPr>
          <w:rFonts w:ascii="Calibri" w:hAnsi="Calibri"/>
          <w:color w:val="000000"/>
          <w:sz w:val="18"/>
        </w:rPr>
        <w:t xml:space="preserve">Petunjuk: </w:t>
      </w:r>
      <w:r>
        <w:rPr>
          <w:rFonts w:ascii="Calibri" w:hAnsi="Calibri"/>
          <w:b w:val="0"/>
          <w:i w:val="0"/>
          <w:color w:val="000000"/>
          <w:sz w:val="18"/>
        </w:rPr>
        <w:t>Menyeleksi kelayakan karya 2D/3D siswa, menulis teks kuratorial, dan merancang buku katalog digital.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Tata Ruang Pameran dan Teknik Pencahayaan (Display &amp; Lighting)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Mengatur alur sirkulasi pengunjung, pemasangan panil partisi, level ketinggian mata (eye-level 150 cm), dan spot lighting.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Apresiasi dan Penulisan Kritik Seni Rupa</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4 tahap kritik seni rupa (deskripsi, analisis formal, interpretasi, dan evaluasi) terhadap karya yang dipamerkan.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Pameran seni rupa sekolah merupakan sarana publikasi dan unjuk kreativitas bagi peserta didik untuk mempresentasikan karya cipta kepada warga sekolah dan masyarakat luas. Kegiatan ini melatih manajemen kepemimpinan, kerja tim, dan apresiasi seni publik.</w:t>
      </w:r>
    </w:p>
    <w:p>
      <w:pPr>
        <w:spacing w:before="40" w:after="60" w:line="276" w:lineRule="auto"/>
      </w:pPr>
      <w:r>
        <w:rPr>
          <w:rFonts w:ascii="Calibri" w:hAnsi="Calibri"/>
          <w:b w:val="0"/>
          <w:i w:val="0"/>
          <w:color w:val="000000"/>
          <w:sz w:val="19"/>
        </w:rPr>
        <w:t>Tahapan penyelenggaraan pameran terbagi atas perencanaan (penentuan tema, jadwal, lokasi, kepanitiaan), persiapan teknis (kurasi karya oleh kurator siswa, pembuatan label identitas karya, penyusunan buku katalog), dan pelaksanaan penataan ruang pamer (*display layout* dan *lighting*).</w:t>
      </w:r>
    </w:p>
    <w:p>
      <w:pPr>
        <w:spacing w:before="40" w:after="60" w:line="276" w:lineRule="auto"/>
      </w:pPr>
      <w:r>
        <w:rPr>
          <w:rFonts w:ascii="Calibri" w:hAnsi="Calibri"/>
          <w:b w:val="0"/>
          <w:i w:val="0"/>
          <w:color w:val="000000"/>
          <w:sz w:val="19"/>
        </w:rPr>
        <w:t>Kegiatan apresiasi dan kritik seni (deskripsi faktual, analisis formal, interpretasi makna, dan evaluasi kualitas) melatih peserta didik berpikir kritis, menghargai keberagaman ekspresi artistik, dan memberikan evaluasi membangun bagi perupa muda.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Pameran Seni Rupa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menyajikan karya seni rupa kepada publik untuk diapresiasi, dinilai, dan dikomunikasikan pesan gagasannya.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Kurator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Seseorang yang bertanggung jawab menyeleksi, menata, dan memberikan ulasan konsep naratif terhadap karya-karya dalam pameran.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Eye-Level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Standar ketinggian penempatan titik tengah karya dua dimensi pada dinding pameran yang sejajar dengan rata-rata tinggi mata pengamat (sekitar 150 cm).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Panil / Partisi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Papan sekat portabel yang digunakan untuk memajang karya seni lukis atau grafis di dalam ruang pameran.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Kritik Seni Formal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Tahapan telaah kritis yang menganalisis bagaimana unsur-unsur visual dan prinsip seni disusun dalam struktur karya.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