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Perlawanan Bangsa Indonesia Menghadapi Hegemoni Kolonial Abad ke-19</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latar belakang, jalannya pertempuran, dan tokoh perlawanan rakyat Indonesia abad ke-19.</w:t>
      </w:r>
    </w:p>
    <w:p>
      <w:pPr>
        <w:pStyle w:val="ListNumber"/>
      </w:pPr>
      <w:r>
        <w:rPr>
          <w:rFonts w:ascii="Calibri" w:hAnsi="Calibri"/>
          <w:b w:val="0"/>
          <w:i w:val="0"/>
          <w:color w:val="000000"/>
          <w:sz w:val="19"/>
        </w:rPr>
        <w:t>Peserta didik mampu mengevaluasi faktor penyebab kegagalan perjuangan bersenjata yang bersifat kedaerahan.</w:t>
      </w:r>
    </w:p>
    <w:p>
      <w:pPr>
        <w:pStyle w:val="ListNumber"/>
      </w:pPr>
      <w:r>
        <w:rPr>
          <w:rFonts w:ascii="Calibri" w:hAnsi="Calibri"/>
          <w:b w:val="0"/>
          <w:i w:val="0"/>
          <w:color w:val="000000"/>
          <w:sz w:val="19"/>
        </w:rPr>
        <w:t>Peserta didik mampu meneladani nilai patriotisme, keteguhan prinsip, dan pengorbanan para pahlawan bangsa.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Karakteristik perlawanan fisik abad ke-19, Perang Saparua/Pattimura di Maluku, Perang Padri di Sumatra Barat, Perang Diponegoro (Perang Jawa), Perang Banjar, dan Perang Aceh yang berkepanjangan.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Ciri dan Karakteristik Perlawanan Kedaerahan Abad ke-19</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kelemahan taktik fisik, kedaerahan, ketergantungan figur pemimpin, dan persenjataan tradisional.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Perang Pattimura (Maluku) dan Perang Padri (Minangkabau)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perlawanan Benteng Duurstede dan rekonsiliasi Plakat Puncak Pato adat basandi syarak.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Perang Diponegoro (Perang Jawa 1825-1830)</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siasat gerilya Pangeran Diponegoro, strategi Benteng Stelsel De Kock, dan penangkapan di Magelang.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Perang Banjar dan Perang Aceh Berkepanjangan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Mengkaji kepemimpinan Pangeran Antasari, Teuku Umar, Cut Nyak Dien, dan siasat Snouck Hurgronje.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Strategi militer yang diterapkan oleh Jenderal Hendrik Merkus de Kock untuk melumpuhkan perang gerilya Pangeran Diponegoro adalah...</w:t>
      </w:r>
    </w:p>
    <w:p>
      <w:pPr>
        <w:spacing w:before="0" w:after="20"/>
        <w:ind w:left="576"/>
      </w:pPr>
      <w:r>
        <w:rPr>
          <w:rFonts w:ascii="Calibri" w:hAnsi="Calibri"/>
          <w:b w:val="0"/>
          <w:i w:val="0"/>
          <w:color w:val="000000"/>
          <w:sz w:val="18"/>
        </w:rPr>
        <w:t>Benteng Stelsel</w:t>
      </w:r>
    </w:p>
    <w:p>
      <w:pPr>
        <w:spacing w:before="0" w:after="20"/>
        <w:ind w:left="576"/>
      </w:pPr>
      <w:r>
        <w:rPr>
          <w:rFonts w:ascii="Calibri" w:hAnsi="Calibri"/>
          <w:b w:val="0"/>
          <w:i w:val="0"/>
          <w:color w:val="000000"/>
          <w:sz w:val="18"/>
        </w:rPr>
        <w:t>Pelayaran Hongi</w:t>
      </w:r>
    </w:p>
    <w:p>
      <w:pPr>
        <w:spacing w:before="0" w:after="20"/>
        <w:ind w:left="576"/>
      </w:pPr>
      <w:r>
        <w:rPr>
          <w:rFonts w:ascii="Calibri" w:hAnsi="Calibri"/>
          <w:b w:val="0"/>
          <w:i w:val="0"/>
          <w:color w:val="000000"/>
          <w:sz w:val="18"/>
        </w:rPr>
        <w:t>Konsentrasi Stelsel</w:t>
      </w:r>
    </w:p>
    <w:p>
      <w:pPr>
        <w:spacing w:before="0" w:after="20"/>
        <w:ind w:left="576"/>
      </w:pPr>
      <w:r>
        <w:rPr>
          <w:rFonts w:ascii="Calibri" w:hAnsi="Calibri"/>
          <w:b w:val="0"/>
          <w:i w:val="0"/>
          <w:color w:val="000000"/>
          <w:sz w:val="18"/>
        </w:rPr>
        <w:t>Devide et Impera murni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Benteng Stelsel membagi wilayah menjadi blok-blok benteng saling terhubung yang memutus pasokan logistik dan ruang gerak gerilya.</w:t>
      </w:r>
    </w:p>
    <w:p>
      <w:pPr>
        <w:spacing w:before="80" w:after="40"/>
        <w:ind w:left="216"/>
      </w:pPr>
      <w:r>
        <w:rPr>
          <w:rFonts w:ascii="Calibri" w:hAnsi="Calibri"/>
          <w:b/>
          <w:color w:val="000000"/>
          <w:sz w:val="19"/>
        </w:rPr>
        <w:t xml:space="preserve">2. </w:t>
      </w:r>
      <w:r>
        <w:rPr>
          <w:rFonts w:ascii="Calibri" w:hAnsi="Calibri"/>
          <w:b w:val="0"/>
          <w:i w:val="0"/>
          <w:color w:val="000000"/>
          <w:sz w:val="19"/>
        </w:rPr>
        <w:t>Tokoh penasihat pemerintah kolonial Belanda yang memberikan masukan strategis kepada Jenderal Van Heutsz untuk menumpas perlawanan para ulama di Perang Aceh adalah...</w:t>
      </w:r>
    </w:p>
    <w:p>
      <w:pPr>
        <w:spacing w:before="0" w:after="20"/>
        <w:ind w:left="576"/>
      </w:pPr>
      <w:r>
        <w:rPr>
          <w:rFonts w:ascii="Calibri" w:hAnsi="Calibri"/>
          <w:b w:val="0"/>
          <w:i w:val="0"/>
          <w:color w:val="000000"/>
          <w:sz w:val="18"/>
        </w:rPr>
        <w:t>Dr. Christian Snouck Hurgronje</w:t>
      </w:r>
    </w:p>
    <w:p>
      <w:pPr>
        <w:spacing w:before="0" w:after="20"/>
        <w:ind w:left="576"/>
      </w:pPr>
      <w:r>
        <w:rPr>
          <w:rFonts w:ascii="Calibri" w:hAnsi="Calibri"/>
          <w:b w:val="0"/>
          <w:i w:val="0"/>
          <w:color w:val="000000"/>
          <w:sz w:val="18"/>
        </w:rPr>
        <w:t>Conrad Theodor van Deventer</w:t>
      </w:r>
    </w:p>
    <w:p>
      <w:pPr>
        <w:spacing w:before="0" w:after="20"/>
        <w:ind w:left="576"/>
      </w:pPr>
      <w:r>
        <w:rPr>
          <w:rFonts w:ascii="Calibri" w:hAnsi="Calibri"/>
          <w:b w:val="0"/>
          <w:i w:val="0"/>
          <w:color w:val="000000"/>
          <w:sz w:val="18"/>
        </w:rPr>
        <w:t>Baron van Hoevell</w:t>
      </w:r>
    </w:p>
    <w:p>
      <w:pPr>
        <w:spacing w:before="0" w:after="20"/>
        <w:ind w:left="576"/>
      </w:pPr>
      <w:r>
        <w:rPr>
          <w:rFonts w:ascii="Calibri" w:hAnsi="Calibri"/>
          <w:b w:val="0"/>
          <w:i w:val="0"/>
          <w:color w:val="000000"/>
          <w:sz w:val="18"/>
        </w:rPr>
        <w:t>Johannes van den Bosch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Snouck Hurgronje meneliti struktur masyarakat Aceh dan menyarankan Belanda merangkul kaum uleebalang sembari menindak keras para ulama pejuang.</w:t>
      </w:r>
    </w:p>
    <w:p>
      <w:pPr>
        <w:spacing w:before="80" w:after="40"/>
        <w:ind w:left="216"/>
      </w:pPr>
      <w:r>
        <w:rPr>
          <w:rFonts w:ascii="Calibri" w:hAnsi="Calibri"/>
          <w:b/>
          <w:color w:val="000000"/>
          <w:sz w:val="19"/>
        </w:rPr>
        <w:t xml:space="preserve">3. </w:t>
      </w:r>
      <w:r>
        <w:rPr>
          <w:rFonts w:ascii="Calibri" w:hAnsi="Calibri"/>
          <w:b w:val="0"/>
          <w:i w:val="0"/>
          <w:color w:val="000000"/>
          <w:sz w:val="19"/>
        </w:rPr>
        <w:t>Perlawanan rakyat Maluku pada tahun 1817 yang berhasil merebut Benteng Duurstede di Saparua dipimpin oleh pahlawan nasional...</w:t>
      </w:r>
    </w:p>
    <w:p>
      <w:pPr>
        <w:spacing w:before="0" w:after="20"/>
        <w:ind w:left="576"/>
      </w:pPr>
      <w:r>
        <w:rPr>
          <w:rFonts w:ascii="Calibri" w:hAnsi="Calibri"/>
          <w:b w:val="0"/>
          <w:i w:val="0"/>
          <w:color w:val="000000"/>
          <w:sz w:val="18"/>
        </w:rPr>
        <w:t>Thomas Matulessy (Kapitan Pattimura)</w:t>
      </w:r>
    </w:p>
    <w:p>
      <w:pPr>
        <w:spacing w:before="0" w:after="20"/>
        <w:ind w:left="576"/>
      </w:pPr>
      <w:r>
        <w:rPr>
          <w:rFonts w:ascii="Calibri" w:hAnsi="Calibri"/>
          <w:b w:val="0"/>
          <w:i w:val="0"/>
          <w:color w:val="000000"/>
          <w:sz w:val="18"/>
        </w:rPr>
        <w:t>Pangeran Antasari</w:t>
      </w:r>
    </w:p>
    <w:p>
      <w:pPr>
        <w:spacing w:before="0" w:after="20"/>
        <w:ind w:left="576"/>
      </w:pPr>
      <w:r>
        <w:rPr>
          <w:rFonts w:ascii="Calibri" w:hAnsi="Calibri"/>
          <w:b w:val="0"/>
          <w:i w:val="0"/>
          <w:color w:val="000000"/>
          <w:sz w:val="18"/>
        </w:rPr>
        <w:t>Tuanku Imam Bonjol</w:t>
      </w:r>
    </w:p>
    <w:p>
      <w:pPr>
        <w:spacing w:before="0" w:after="20"/>
        <w:ind w:left="576"/>
      </w:pPr>
      <w:r>
        <w:rPr>
          <w:rFonts w:ascii="Calibri" w:hAnsi="Calibri"/>
          <w:b w:val="0"/>
          <w:i w:val="0"/>
          <w:color w:val="000000"/>
          <w:sz w:val="18"/>
        </w:rPr>
        <w:t>Sultan Hasanuddin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Kapitan Pattimura (Thomas Matulessy) bersama Christina Martha Tiahahu memimpin perlawanan heroik rakyat Saparua Maluku.</w:t>
      </w:r>
    </w:p>
    <w:p>
      <w:pPr>
        <w:spacing w:before="80" w:after="40"/>
        <w:ind w:left="216"/>
      </w:pPr>
      <w:r>
        <w:rPr>
          <w:rFonts w:ascii="Calibri" w:hAnsi="Calibri"/>
          <w:b/>
          <w:color w:val="000000"/>
          <w:sz w:val="19"/>
        </w:rPr>
        <w:t xml:space="preserve">4. </w:t>
      </w:r>
      <w:r>
        <w:rPr>
          <w:rFonts w:ascii="Calibri" w:hAnsi="Calibri"/>
          <w:b w:val="0"/>
          <w:i w:val="0"/>
          <w:color w:val="000000"/>
          <w:sz w:val="19"/>
        </w:rPr>
        <w:t>Faktor utama yang menyebabkan sebagian besar perlawanan rakyat Indonesia pada abad ke-19 mengalami kegagalan adalah...</w:t>
      </w:r>
    </w:p>
    <w:p>
      <w:pPr>
        <w:spacing w:before="0" w:after="20"/>
        <w:ind w:left="576"/>
      </w:pPr>
      <w:r>
        <w:rPr>
          <w:rFonts w:ascii="Calibri" w:hAnsi="Calibri"/>
          <w:b w:val="0"/>
          <w:i w:val="0"/>
          <w:color w:val="000000"/>
          <w:sz w:val="18"/>
        </w:rPr>
        <w:t>Perjuangan masih bersifat kedaerahan, belum terorganisasi secara nasional, dan bergantung mutlak pada pemimpin kharismatik tunggal</w:t>
      </w:r>
    </w:p>
    <w:p>
      <w:pPr>
        <w:spacing w:before="0" w:after="20"/>
        <w:ind w:left="576"/>
      </w:pPr>
      <w:r>
        <w:rPr>
          <w:rFonts w:ascii="Calibri" w:hAnsi="Calibri"/>
          <w:b w:val="0"/>
          <w:i w:val="0"/>
          <w:color w:val="000000"/>
          <w:sz w:val="18"/>
        </w:rPr>
        <w:t>Bangsa Indonesia tidak memiliki semangat juang sama sekali</w:t>
      </w:r>
    </w:p>
    <w:p>
      <w:pPr>
        <w:spacing w:before="0" w:after="20"/>
        <w:ind w:left="576"/>
      </w:pPr>
      <w:r>
        <w:rPr>
          <w:rFonts w:ascii="Calibri" w:hAnsi="Calibri"/>
          <w:b w:val="0"/>
          <w:i w:val="0"/>
          <w:color w:val="000000"/>
          <w:sz w:val="18"/>
        </w:rPr>
        <w:t>Semua pemimpin rakyat mudah disuap dengan uang emas</w:t>
      </w:r>
    </w:p>
    <w:p>
      <w:pPr>
        <w:spacing w:before="0" w:after="20"/>
        <w:ind w:left="576"/>
      </w:pPr>
      <w:r>
        <w:rPr>
          <w:rFonts w:ascii="Calibri" w:hAnsi="Calibri"/>
          <w:b w:val="0"/>
          <w:i w:val="0"/>
          <w:color w:val="000000"/>
          <w:sz w:val="18"/>
        </w:rPr>
        <w:t>Rakyat lebih memilih hidup di bawah penjajah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Sifat lokalitas dan ketergantungan pada pemimpin membuat perlawanan mudah padam begitu sang pemimpin ditangkap atau gugur.</w:t>
      </w:r>
    </w:p>
    <w:p>
      <w:pPr>
        <w:spacing w:before="80" w:after="40"/>
        <w:ind w:left="216"/>
      </w:pPr>
      <w:r>
        <w:rPr>
          <w:rFonts w:ascii="Calibri" w:hAnsi="Calibri"/>
          <w:b/>
          <w:color w:val="000000"/>
          <w:sz w:val="19"/>
        </w:rPr>
        <w:t xml:space="preserve">5. </w:t>
      </w:r>
      <w:r>
        <w:rPr>
          <w:rFonts w:ascii="Calibri" w:hAnsi="Calibri"/>
          <w:b w:val="0"/>
          <w:i w:val="0"/>
          <w:color w:val="000000"/>
          <w:sz w:val="19"/>
        </w:rPr>
        <w:t>Pernyataan 'Adat basandi syarak, syarak basandi Kitabullah' lahir sebagai konsensus pemersatu dalam peristiwa...</w:t>
      </w:r>
    </w:p>
    <w:p>
      <w:pPr>
        <w:spacing w:before="0" w:after="20"/>
        <w:ind w:left="576"/>
      </w:pPr>
      <w:r>
        <w:rPr>
          <w:rFonts w:ascii="Calibri" w:hAnsi="Calibri"/>
          <w:b w:val="0"/>
          <w:i w:val="0"/>
          <w:color w:val="000000"/>
          <w:sz w:val="18"/>
        </w:rPr>
        <w:t>Perang Padri di Sumatra Barat</w:t>
      </w:r>
    </w:p>
    <w:p>
      <w:pPr>
        <w:spacing w:before="0" w:after="20"/>
        <w:ind w:left="576"/>
      </w:pPr>
      <w:r>
        <w:rPr>
          <w:rFonts w:ascii="Calibri" w:hAnsi="Calibri"/>
          <w:b w:val="0"/>
          <w:i w:val="0"/>
          <w:color w:val="000000"/>
          <w:sz w:val="18"/>
        </w:rPr>
        <w:t>Perang Diponegoro di Yogyakarta</w:t>
      </w:r>
    </w:p>
    <w:p>
      <w:pPr>
        <w:spacing w:before="0" w:after="20"/>
        <w:ind w:left="576"/>
      </w:pPr>
      <w:r>
        <w:rPr>
          <w:rFonts w:ascii="Calibri" w:hAnsi="Calibri"/>
          <w:b w:val="0"/>
          <w:i w:val="0"/>
          <w:color w:val="000000"/>
          <w:sz w:val="18"/>
        </w:rPr>
        <w:t>Perang Banjar di Kalimantan Selatan</w:t>
      </w:r>
    </w:p>
    <w:p>
      <w:pPr>
        <w:spacing w:before="0" w:after="20"/>
        <w:ind w:left="576"/>
      </w:pPr>
      <w:r>
        <w:rPr>
          <w:rFonts w:ascii="Calibri" w:hAnsi="Calibri"/>
          <w:b w:val="0"/>
          <w:i w:val="0"/>
          <w:color w:val="000000"/>
          <w:sz w:val="18"/>
        </w:rPr>
        <w:t>Perang Jagaraga di Bali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Kesepakatan ini menyatukan kaum adat dan kaum agama Minangkabau untuk menggalang kekuatan bersama melawan penjajahan Belanda.</w:t>
      </w:r>
    </w:p>
    <w:p>
      <w:r>
        <w:br w:type="page"/>
      </w:r>
    </w:p>
    <w:p>
      <w:pPr>
        <w:pStyle w:val="Title"/>
      </w:pPr>
      <w:r>
        <w:t>LEMBAR KERJA PESERTA DIDIK (LKPD)</w:t>
      </w:r>
    </w:p>
    <w:p>
      <w:pPr>
        <w:pStyle w:val="Subtitle"/>
      </w:pPr>
      <w:r>
        <w:t>Mata Pelajaran: Sejarah • Bab 2: Perlawanan Bangsa Indonesia Menghadapi Hegemoni Kolonial Abad ke-19</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Ciri dan Karakteristik Perlawanan Kedaerahan Abad ke-19</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kelemahan taktik fisik, kedaerahan, ketergantungan figur pemimpin, dan persenjataan tradisional.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Perang Pattimura (Maluku) dan Perang Padri (Minangkabau)</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perlawanan Benteng Duurstede dan rekonsiliasi Plakat Puncak Pato adat basandi syarak.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Perang Diponegoro (Perang Jawa 1825-1830)</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siasat gerilya Pangeran Diponegoro, strategi Benteng Stelsel De Kock, dan penangkapan di Magelang.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Perang Banjar dan Perang Aceh Berkepanjangan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Mengkaji kepemimpinan Pangeran Antasari, Teuku Umar, Cut Nyak Dien, dan siasat Snouck Hurgronje.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Abad ke-19 ditandai oleh meletusnya berbagai perang perlawanan rakyat berskala besar di berbagai kepulauan Nusantara untuk menentang hegemoni, monopoli, penindasan pajak, dan campur tangan kolonial Belanda dalam urusan suksesi takhta kerajaan lokal.</w:t>
      </w:r>
    </w:p>
    <w:p>
      <w:pPr>
        <w:spacing w:before="40" w:after="60" w:line="276" w:lineRule="auto"/>
      </w:pPr>
      <w:r>
        <w:rPr>
          <w:rFonts w:ascii="Calibri" w:hAnsi="Calibri"/>
          <w:b w:val="0"/>
          <w:i w:val="0"/>
          <w:color w:val="000000"/>
          <w:sz w:val="19"/>
        </w:rPr>
        <w:t>Perang Diponegoro (1825–1830) di Jawa Tengah menelan biaya sangat besar bagi kas Belanda dan menerapkan taktik gerilya rakyat semesta. Di Sumatra Barat, Perang Padri (1821–1838) yang awalnya merupakan pertentangan kaum adat dan kaum Padri berubah menjadi aliansi persatuan melawan penjajah Belanda.</w:t>
      </w:r>
    </w:p>
    <w:p>
      <w:pPr>
        <w:spacing w:before="40" w:after="60" w:line="276" w:lineRule="auto"/>
      </w:pPr>
      <w:r>
        <w:rPr>
          <w:rFonts w:ascii="Calibri" w:hAnsi="Calibri"/>
          <w:b w:val="0"/>
          <w:i w:val="0"/>
          <w:color w:val="000000"/>
          <w:sz w:val="19"/>
        </w:rPr>
        <w:t>Di Aceh, Perang Aceh (1873–1904) menjadi perang kolonial terpanjang dan paling menguras sumber daya Belanda. Analisis sejarah menunjukkan kelemahan perjuangan abad ke-19 yang masih bersifat kedaerahan (*lokalitas*), bergantung mutlak pada kharisma pemimpin tunggal, dan mudah dipecah belah.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Benteng Stelsel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Strategi militer Belanda di bawah Jenderal De Kock dengan membangun pos-pos benteng kecil yang saling terhubung untuk mempersempit ruang gerak gerilya Diponegoro.</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Perang Gerilya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Taktik perang sembunyi-sembunyi, menyerang mendadak secara kilat pada posisi musuh yang lengah lalu segera menghilang ke hutan/desa.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Plakat Puncak Pato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Kesepakatan bersejarah antara Kaum Adat dan Kaum Padri di Minangkabau untuk bersatu melawan Belanda dengan prinsip 'Adat basandi syarak, syarak basandi Kitabullah'.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Snouck Hurgronje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Penasihat bahasa dan budaya Islam pemerintah kolonial yang menyamar menjadi Abdul Ghaffar guna memetakan kelemahan pertahanan ulama pejuang Aceh.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Perang Sabil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Doktrin perang suci membela agama dan tanah air dari penjajahan kaum kafir kolonial di Aceh dan wilayah Nusantara lainnya.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