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Pengukuran Derajat Kebugaran Jasmani Indonesia (TKJI)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Melaksanakan rangkaian 5 item tes TKJI sesuai standar operasional baku dan tertib.</w:t>
      </w:r>
    </w:p>
    <w:p>
      <w:pPr>
        <w:pStyle w:val="ListNumber"/>
      </w:pPr>
      <w:r>
        <w:rPr>
          <w:rFonts w:ascii="Calibri" w:hAnsi="Calibri"/>
          <w:b w:val="0"/>
          <w:i w:val="0"/>
          <w:color w:val="000000"/>
          <w:sz w:val="19"/>
        </w:rPr>
        <w:t>Menghitung skor total dan mengelompokkan tingkat kebugaran jasmani ke dalam norma kategori baku.</w:t>
      </w:r>
    </w:p>
    <w:p>
      <w:pPr>
        <w:pStyle w:val="ListNumber"/>
      </w:pPr>
      <w:r>
        <w:rPr>
          <w:rFonts w:ascii="Calibri" w:hAnsi="Calibri"/>
          <w:b w:val="0"/>
          <w:i w:val="0"/>
          <w:color w:val="000000"/>
          <w:sz w:val="19"/>
        </w:rPr>
        <w:t>Merancang program latihan kebugaran mandiri untuk meningkatkan daya tahan dan kekuatan otot.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Melaksanakan instrumen baku Tes Kebugaran Jasmani Indonesia (TKJI) usia 10-12 tahun: lari 40m, gantung siku tekuk, baring duduk 30 detik, loncat tegak, lari 600m, serta menyusun grafik profil kebugaran pribadi.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5 Butir Tes Kebugaran Jasmani Indonesia (TKJI) Usia 10–12 Tahun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5 butir tes kebugaran jasmani indonesia (tkji) usia 10–12 tahun.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dan Prosedur Pelaksanaan: Lari 40m, Gantung Siku Tekuk, dan Sit-up 30 Detik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dan prosedur pelaksanaan: lari 40m, gantung siku tekuk, dan sit-up 30 detik.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dan Prosedur Pelaksanaan: Loncat Tegak (Vertical Jump) dan Lari 600m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dan prosedur pelaksanaan: loncat tegak (vertical jump) dan lari 600m.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Konversi Skor Norma TKJI dan Perancangan Rencana Kebugaran Pribadi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konversi skor norma tkji dan perancangan rencana kebugaran pribadi.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Urutan pelaksanaan 5 butir tes TKJI usia 10–12 tahun yang benar dan berurutan adalah...</w:t>
      </w:r>
    </w:p>
    <w:p>
      <w:pPr>
        <w:spacing w:before="0" w:after="20"/>
        <w:ind w:left="576"/>
      </w:pPr>
      <w:r>
        <w:rPr>
          <w:rFonts w:ascii="Calibri" w:hAnsi="Calibri"/>
          <w:b w:val="0"/>
          <w:i w:val="0"/>
          <w:color w:val="000000"/>
          <w:sz w:val="18"/>
        </w:rPr>
        <w:t>A. Lari 600m → Sit-up → Loncat Tegak → Lari 40m → Gantung Siku Tekuk</w:t>
      </w:r>
    </w:p>
    <w:p>
      <w:pPr>
        <w:spacing w:before="0" w:after="20"/>
        <w:ind w:left="576"/>
      </w:pPr>
      <w:r>
        <w:rPr>
          <w:rFonts w:ascii="Calibri" w:hAnsi="Calibri"/>
          <w:b w:val="0"/>
          <w:i w:val="0"/>
          <w:color w:val="000000"/>
          <w:sz w:val="18"/>
        </w:rPr>
        <w:t>B. Lari cepat 40 meter → Gantung siku tekuk → Baring duduk (sit-up) 30 detik → Loncat tegak (vertical jump) → Lari 600 meter</w:t>
      </w:r>
    </w:p>
    <w:p>
      <w:pPr>
        <w:spacing w:before="0" w:after="20"/>
        <w:ind w:left="576"/>
      </w:pPr>
      <w:r>
        <w:rPr>
          <w:rFonts w:ascii="Calibri" w:hAnsi="Calibri"/>
          <w:b w:val="0"/>
          <w:i w:val="0"/>
          <w:color w:val="000000"/>
          <w:sz w:val="18"/>
        </w:rPr>
        <w:t>C. Loncat tegak → Lari 600m → Lari 40m → Sit-up → Gantung Siku Tekuk</w:t>
      </w:r>
    </w:p>
    <w:p>
      <w:pPr>
        <w:spacing w:before="0" w:after="20"/>
        <w:ind w:left="576"/>
      </w:pPr>
      <w:r>
        <w:rPr>
          <w:rFonts w:ascii="Calibri" w:hAnsi="Calibri"/>
          <w:b w:val="0"/>
          <w:i w:val="0"/>
          <w:color w:val="000000"/>
          <w:sz w:val="18"/>
        </w:rPr>
        <w:t>D. Sit-up → Gantung Siku Tekuk → Lari 600m → Lari 40m → Loncat Tegak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Urutan tes TKJI dirancang sistematis dari aktivitas kecepatan murni, kekuatan otot lokal, daya ledak, hingga diakhiri tes daya tahan jantung lari 600 meter.</w:t>
      </w:r>
    </w:p>
    <w:p>
      <w:pPr>
        <w:spacing w:before="80" w:after="40"/>
        <w:ind w:left="216"/>
      </w:pPr>
      <w:r>
        <w:rPr>
          <w:rFonts w:ascii="Calibri" w:hAnsi="Calibri"/>
          <w:b/>
          <w:color w:val="000000"/>
          <w:sz w:val="19"/>
        </w:rPr>
        <w:t xml:space="preserve">2. </w:t>
      </w:r>
      <w:r>
        <w:rPr>
          <w:rFonts w:ascii="Calibri" w:hAnsi="Calibri"/>
          <w:b w:val="0"/>
          <w:i w:val="0"/>
          <w:color w:val="000000"/>
          <w:sz w:val="19"/>
        </w:rPr>
        <w:t>Pada tes loncat tegak (vertical jump), hal yang diukur untuk menentukan skor prestasi peserta didik adalah...</w:t>
      </w:r>
    </w:p>
    <w:p>
      <w:pPr>
        <w:spacing w:before="0" w:after="20"/>
        <w:ind w:left="576"/>
      </w:pPr>
      <w:r>
        <w:rPr>
          <w:rFonts w:ascii="Calibri" w:hAnsi="Calibri"/>
          <w:b w:val="0"/>
          <w:i w:val="0"/>
          <w:color w:val="000000"/>
          <w:sz w:val="18"/>
        </w:rPr>
        <w:t>A. Lama waktu peserta melayang di udara</w:t>
      </w:r>
    </w:p>
    <w:p>
      <w:pPr>
        <w:spacing w:before="0" w:after="20"/>
        <w:ind w:left="576"/>
      </w:pPr>
      <w:r>
        <w:rPr>
          <w:rFonts w:ascii="Calibri" w:hAnsi="Calibri"/>
          <w:b w:val="0"/>
          <w:i w:val="0"/>
          <w:color w:val="000000"/>
          <w:sz w:val="18"/>
        </w:rPr>
        <w:t>B. Selisih tinggi antara bekas raihan jari tangan saat meloncat maksimal dengan tinggi raihan berdiri tegak</w:t>
      </w:r>
    </w:p>
    <w:p>
      <w:pPr>
        <w:spacing w:before="0" w:after="20"/>
        <w:ind w:left="576"/>
      </w:pPr>
      <w:r>
        <w:rPr>
          <w:rFonts w:ascii="Calibri" w:hAnsi="Calibri"/>
          <w:b w:val="0"/>
          <w:i w:val="0"/>
          <w:color w:val="000000"/>
          <w:sz w:val="18"/>
        </w:rPr>
        <w:t>C. Jarak lompatan peserta ke arah depan</w:t>
      </w:r>
    </w:p>
    <w:p>
      <w:pPr>
        <w:spacing w:before="0" w:after="20"/>
        <w:ind w:left="576"/>
      </w:pPr>
      <w:r>
        <w:rPr>
          <w:rFonts w:ascii="Calibri" w:hAnsi="Calibri"/>
          <w:b w:val="0"/>
          <w:i w:val="0"/>
          <w:color w:val="000000"/>
          <w:sz w:val="18"/>
        </w:rPr>
        <w:t>D. Jumlah loncatan yang dilakukan dalam satu menit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Skor vertical jump didapat dari selisih tinggi raihan loncatan dikurangi tinggi raihan awal tegak di dinding ukur berskala sentimeter.</w:t>
      </w:r>
    </w:p>
    <w:p>
      <w:pPr>
        <w:spacing w:before="80" w:after="40"/>
        <w:ind w:left="216"/>
      </w:pPr>
      <w:r>
        <w:rPr>
          <w:rFonts w:ascii="Calibri" w:hAnsi="Calibri"/>
          <w:b/>
          <w:color w:val="000000"/>
          <w:sz w:val="19"/>
        </w:rPr>
        <w:t xml:space="preserve">3. </w:t>
      </w:r>
      <w:r>
        <w:rPr>
          <w:rFonts w:ascii="Calibri" w:hAnsi="Calibri"/>
          <w:b w:val="0"/>
          <w:i w:val="0"/>
          <w:color w:val="000000"/>
          <w:sz w:val="19"/>
        </w:rPr>
        <w:t>Gerakan yang dihitung sebagai satu kali pengulangan sah pada tes baring duduk (sit-up) 30 detik adalah...</w:t>
      </w:r>
    </w:p>
    <w:p>
      <w:pPr>
        <w:spacing w:before="0" w:after="20"/>
        <w:ind w:left="576"/>
      </w:pPr>
      <w:r>
        <w:rPr>
          <w:rFonts w:ascii="Calibri" w:hAnsi="Calibri"/>
          <w:b w:val="0"/>
          <w:i w:val="0"/>
          <w:color w:val="000000"/>
          <w:sz w:val="18"/>
        </w:rPr>
        <w:t>A. Kepala terangkat sedikit dari lantai</w:t>
      </w:r>
    </w:p>
    <w:p>
      <w:pPr>
        <w:spacing w:before="0" w:after="20"/>
        <w:ind w:left="576"/>
      </w:pPr>
      <w:r>
        <w:rPr>
          <w:rFonts w:ascii="Calibri" w:hAnsi="Calibri"/>
          <w:b w:val="0"/>
          <w:i w:val="0"/>
          <w:color w:val="000000"/>
          <w:sz w:val="18"/>
        </w:rPr>
        <w:t>B. Dari posisi telentang, badan terangkat hingga kedua siku menyentuh kedua paha/lutut lalu kembali telentang sempurna hingga punggung menyentuh lantai</w:t>
      </w:r>
    </w:p>
    <w:p>
      <w:pPr>
        <w:spacing w:before="0" w:after="20"/>
        <w:ind w:left="576"/>
      </w:pPr>
      <w:r>
        <w:rPr>
          <w:rFonts w:ascii="Calibri" w:hAnsi="Calibri"/>
          <w:b w:val="0"/>
          <w:i w:val="0"/>
          <w:color w:val="000000"/>
          <w:sz w:val="18"/>
        </w:rPr>
        <w:t>C. Kedua kaki diangkat ke atas kepala</w:t>
      </w:r>
    </w:p>
    <w:p>
      <w:pPr>
        <w:spacing w:before="0" w:after="20"/>
        <w:ind w:left="576"/>
      </w:pPr>
      <w:r>
        <w:rPr>
          <w:rFonts w:ascii="Calibri" w:hAnsi="Calibri"/>
          <w:b w:val="0"/>
          <w:i w:val="0"/>
          <w:color w:val="000000"/>
          <w:sz w:val="18"/>
        </w:rPr>
        <w:t>D. Tengkurap sambil mendorong lantai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Gerakan sah mewajibkan siku menyentuh paha saat naik dan punggung/bahu menyentuh matras saat turun kembali secara penuh.</w:t>
      </w:r>
    </w:p>
    <w:p>
      <w:pPr>
        <w:spacing w:before="80" w:after="40"/>
        <w:ind w:left="216"/>
      </w:pPr>
      <w:r>
        <w:rPr>
          <w:rFonts w:ascii="Calibri" w:hAnsi="Calibri"/>
          <w:b/>
          <w:color w:val="000000"/>
          <w:sz w:val="19"/>
        </w:rPr>
        <w:t xml:space="preserve">4. </w:t>
      </w:r>
      <w:r>
        <w:rPr>
          <w:rFonts w:ascii="Calibri" w:hAnsi="Calibri"/>
          <w:b w:val="0"/>
          <w:i w:val="0"/>
          <w:color w:val="000000"/>
          <w:sz w:val="19"/>
        </w:rPr>
        <w:t>Jika seorang peserta didik memperoleh klasifikasi kebugaran pada kategori 'Kurang', langkah tindak lanjut yang paling bijak adalah...</w:t>
      </w:r>
    </w:p>
    <w:p>
      <w:pPr>
        <w:spacing w:before="0" w:after="20"/>
        <w:ind w:left="576"/>
      </w:pPr>
      <w:r>
        <w:rPr>
          <w:rFonts w:ascii="Calibri" w:hAnsi="Calibri"/>
          <w:b w:val="0"/>
          <w:i w:val="0"/>
          <w:color w:val="000000"/>
          <w:sz w:val="18"/>
        </w:rPr>
        <w:t>A. Menyerah dan berhenti mengikuti semua kegiatan olahraga</w:t>
      </w:r>
    </w:p>
    <w:p>
      <w:pPr>
        <w:spacing w:before="0" w:after="20"/>
        <w:ind w:left="576"/>
      </w:pPr>
      <w:r>
        <w:rPr>
          <w:rFonts w:ascii="Calibri" w:hAnsi="Calibri"/>
          <w:b w:val="0"/>
          <w:i w:val="0"/>
          <w:color w:val="000000"/>
          <w:sz w:val="18"/>
        </w:rPr>
        <w:t>B. Menyusun jadwal olahraga rutin 3–4 kali seminggu, mengurangi makanan cepat saji, dan memperbanyak aktivitas gerak harian</w:t>
      </w:r>
    </w:p>
    <w:p>
      <w:pPr>
        <w:spacing w:before="0" w:after="20"/>
        <w:ind w:left="576"/>
      </w:pPr>
      <w:r>
        <w:rPr>
          <w:rFonts w:ascii="Calibri" w:hAnsi="Calibri"/>
          <w:b w:val="0"/>
          <w:i w:val="0"/>
          <w:color w:val="000000"/>
          <w:sz w:val="18"/>
        </w:rPr>
        <w:t>C. Meminum suplemen obat pembesar otot tanpa resep dokter</w:t>
      </w:r>
    </w:p>
    <w:p>
      <w:pPr>
        <w:spacing w:before="0" w:after="20"/>
        <w:ind w:left="576"/>
      </w:pPr>
      <w:r>
        <w:rPr>
          <w:rFonts w:ascii="Calibri" w:hAnsi="Calibri"/>
          <w:b w:val="0"/>
          <w:i w:val="0"/>
          <w:color w:val="000000"/>
          <w:sz w:val="18"/>
        </w:rPr>
        <w:t>D. Tidur sepanjang hari agar tidak lelah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Klasifikasi kurang merupakan bahan refleksi untuk memperbaiki pola makan bergizi, membatasi screen time, dan meningkatkan latihan fisik teratur.</w:t>
      </w:r>
    </w:p>
    <w:p>
      <w:pPr>
        <w:spacing w:before="80" w:after="40"/>
        <w:ind w:left="216"/>
      </w:pPr>
      <w:r>
        <w:rPr>
          <w:rFonts w:ascii="Calibri" w:hAnsi="Calibri"/>
          <w:b/>
          <w:color w:val="000000"/>
          <w:sz w:val="19"/>
        </w:rPr>
        <w:t xml:space="preserve">5. </w:t>
      </w:r>
      <w:r>
        <w:rPr>
          <w:rFonts w:ascii="Calibri" w:hAnsi="Calibri"/>
          <w:b w:val="0"/>
          <w:i w:val="0"/>
          <w:color w:val="000000"/>
          <w:sz w:val="19"/>
        </w:rPr>
        <w:t>Fungsi jeda istirahat selama 3–5 menit di antara setiap pos butir tes TKJI adalah...</w:t>
      </w:r>
    </w:p>
    <w:p>
      <w:pPr>
        <w:spacing w:before="0" w:after="20"/>
        <w:ind w:left="576"/>
      </w:pPr>
      <w:r>
        <w:rPr>
          <w:rFonts w:ascii="Calibri" w:hAnsi="Calibri"/>
          <w:b w:val="0"/>
          <w:i w:val="0"/>
          <w:color w:val="000000"/>
          <w:sz w:val="18"/>
        </w:rPr>
        <w:t>A. Memberikan waktu kepada murid untuk bermain game ponsel</w:t>
      </w:r>
    </w:p>
    <w:p>
      <w:pPr>
        <w:spacing w:before="0" w:after="20"/>
        <w:ind w:left="576"/>
      </w:pPr>
      <w:r>
        <w:rPr>
          <w:rFonts w:ascii="Calibri" w:hAnsi="Calibri"/>
          <w:b w:val="0"/>
          <w:i w:val="0"/>
          <w:color w:val="000000"/>
          <w:sz w:val="18"/>
        </w:rPr>
        <w:t>B. Memberi kesempatan sistem energi dan otot tubuh pulih kembali sehingga siap melakukan butir tes berikutnya secara optimal</w:t>
      </w:r>
    </w:p>
    <w:p>
      <w:pPr>
        <w:spacing w:before="0" w:after="20"/>
        <w:ind w:left="576"/>
      </w:pPr>
      <w:r>
        <w:rPr>
          <w:rFonts w:ascii="Calibri" w:hAnsi="Calibri"/>
          <w:b w:val="0"/>
          <w:i w:val="0"/>
          <w:color w:val="000000"/>
          <w:sz w:val="18"/>
        </w:rPr>
        <w:t>C. Menunggu guru membuat soal ujian tertulis</w:t>
      </w:r>
    </w:p>
    <w:p>
      <w:pPr>
        <w:spacing w:before="0" w:after="20"/>
        <w:ind w:left="576"/>
      </w:pPr>
      <w:r>
        <w:rPr>
          <w:rFonts w:ascii="Calibri" w:hAnsi="Calibri"/>
          <w:b w:val="0"/>
          <w:i w:val="0"/>
          <w:color w:val="000000"/>
          <w:sz w:val="18"/>
        </w:rPr>
        <w:t>D. Membiarkan matras kering terkena angin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Waktu istirahat singkat memulihkan cadangan ATP-PC dan menurunkan asam laktat agar pengukuran pada butir tes selanjutnya tetap valid.</w:t>
      </w:r>
    </w:p>
    <w:p>
      <w:r>
        <w:br w:type="page"/>
      </w:r>
    </w:p>
    <w:p>
      <w:pPr>
        <w:pStyle w:val="Title"/>
      </w:pPr>
      <w:r>
        <w:t>LEMBAR KERJA PESERTA DIDIK (LKPD)</w:t>
      </w:r>
    </w:p>
    <w:p>
      <w:pPr>
        <w:pStyle w:val="Subtitle"/>
      </w:pPr>
      <w:r>
        <w:t>Mata Pelajaran: Pendidikan Jasmani, Olahraga, dan Kesehatan (PJOK) • Bab 5: Pengukuran Derajat Kebugaran Jasmani Indonesia (TKJI)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5 Butir Tes Kebugaran Jasmani Indonesia (TKJI) Usia 10–12 Tahun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5 butir tes kebugaran jasmani indonesia (tkji) usia 10–12 tahun.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dan Prosedur Pelaksanaan: Lari 40m, Gantung Siku Tekuk, dan Sit-up 30 Detik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dan prosedur pelaksanaan: lari 40m, gantung siku tekuk, dan sit-up 30 detik.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dan Prosedur Pelaksanaan: Loncat Tegak (Vertical Jump) dan Lari 600m</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dan prosedur pelaksanaan: loncat tegak (vertical jump) dan lari 600m.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Konversi Skor Norma TKJI dan Perancangan Rencana Kebugaran Pribadi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konversi skor norma tkji dan perancangan rencana kebugaran pribadi.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Pengukuran Derajat Kebugaran Jasmani Indonesia (TKJI) membimbing peserta didik kelas enam melakukan serangkaian tes kebugaran fisik berstandar nasional untuk kelompok usia 10–12 tahun. Tes ini mengukur tingkat kesiapan fisik menyeluruh meliputi kecepatan, daya tahan otot lengan-bahu, kekuatan otot perut, daya ledak tungkai, dan daya tahan jantung-paru.</w:t>
      </w:r>
    </w:p>
    <w:p>
      <w:pPr>
        <w:spacing w:before="40" w:after="60" w:line="276" w:lineRule="auto"/>
      </w:pPr>
      <w:r>
        <w:rPr>
          <w:rFonts w:ascii="Calibri" w:hAnsi="Calibri"/>
          <w:b w:val="0"/>
          <w:i w:val="0"/>
          <w:color w:val="000000"/>
          <w:sz w:val="19"/>
        </w:rPr>
        <w:t>Peserta didik mempraktikkan lima butir tes baku TKJI: lari cepat 40 meter, tes gantung siku tekuk (*pull-up* modifikasi), tes baring duduk 30 detik (*sit-up*), tes loncat tegak (*vertical jump*), dan tes lari 600 meter. Mereka belajar mencatat skor mentah dan mengonversikannya ke dalam tabel norma klasifikasi kebugaran jasmani (Baik Sekali, Baik, Sedang, Kurang, Kurang Sekali).</w:t>
      </w:r>
    </w:p>
    <w:p>
      <w:pPr>
        <w:spacing w:before="40" w:after="60" w:line="276" w:lineRule="auto"/>
      </w:pPr>
      <w:r>
        <w:rPr>
          <w:rFonts w:ascii="Calibri" w:hAnsi="Calibri"/>
          <w:b w:val="0"/>
          <w:i w:val="0"/>
          <w:color w:val="000000"/>
          <w:sz w:val="19"/>
        </w:rPr>
        <w:t>Melalui evaluasi hasil profil kebugaran diri, peserta didik dilatih bernalar kritis menganalisis kelemahan fisik pribadi, merancang program perbaikan kebugaran mandiri, dan berkomitmen menjaga kebiasaan hidup sehat jangka panjang.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TKJI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Tes Kebugaran Jasmani Indonesia, instrumen baku nasional untuk mengukur tingkat kebugaran fisik anak dan remaja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Vertical Jump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Tes loncat tegak ke atas tanpa awalan langkah untuk mengukur daya ledak (power) otot tungkai kaki.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Gantung Siku Tekuk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Tes mempertahankan posisi tubuh menggantung dengan dagu di atas palang dan siku ditekuk untuk mengukur kekuatan otot lengan.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 Kebugaran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Tabel rujukan standar nilai untuk mengkategorikan tingkat kebugaran fisik dari kurang sekali hingga baik sekali.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Daya Ledak (Power)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otot untuk mengerahkan kekuatan maksimal dalam waktu yang sangat singkat dan eksplosif.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