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(3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Kita Berbeda tapi Tetap Satu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keragaman fisik, suku, dan agama teman-temannya di sekolah.</w:t>
      </w:r>
    </w:p>
    <w:p>
      <w:pPr>
        <w:pStyle w:val="ListNumber"/>
      </w:pPr>
      <w:r>
        <w:rPr>
          <w:rFonts w:ascii="Calibri" w:hAnsi="Calibri"/>
          <w:b w:val="0"/>
          <w:i w:val="0"/>
          <w:color w:val="000000"/>
          <w:sz w:val="19"/>
        </w:rPr>
        <w:t>Peserta didik mampu menjelaskan arti semboyan Bhinneka Tunggal Ika dengan bahasa sederhana.</w:t>
      </w:r>
    </w:p>
    <w:p>
      <w:pPr>
        <w:pStyle w:val="ListNumber"/>
      </w:pPr>
      <w:r>
        <w:rPr>
          <w:rFonts w:ascii="Calibri" w:hAnsi="Calibri"/>
          <w:b w:val="0"/>
          <w:i w:val="0"/>
          <w:color w:val="000000"/>
          <w:sz w:val="19"/>
        </w:rPr>
        <w:t>Peserta didik mampu menunjukkan sikap toleransi dan bermain rukun tanpa membeda-bedakan latar belakang teman.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mengenali identitas diri dan keragaman teman, menghormati perbedaan suku, agama, dan bahasa daerah sesuai semboyan Bhinneka Tunggal Ika.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Identitas Diri dan Teman Sebaya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ciri fisik, asal daerah orang tua, dan bahasa daerah yang digunakan teman di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Menghargai Keragaman Agama dan Budaya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6 agama resmi di Indonesia dan tempat ibadahnya serta menghormati perayaan hari besar teman.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Mengamalkan Semboyan Bhinneka Tunggal Ika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sikap hidup rukun dan tidak membeda-bedakan teman saat bermain dan belajar.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Semboyan bangsa Indonesia yang memiliki arti 'Berbeda-beda tetapi tetap satu jua' adalah...</w:t>
      </w:r>
    </w:p>
    <w:p>
      <w:pPr>
        <w:spacing w:before="0" w:after="20"/>
        <w:ind w:left="576"/>
      </w:pPr>
      <w:r>
        <w:rPr>
          <w:rFonts w:ascii="Calibri" w:hAnsi="Calibri"/>
          <w:b w:val="0"/>
          <w:i w:val="0"/>
          <w:color w:val="000000"/>
          <w:sz w:val="18"/>
        </w:rPr>
        <w:t>A. Tut Wuri Handayani</w:t>
      </w:r>
    </w:p>
    <w:p>
      <w:pPr>
        <w:spacing w:before="0" w:after="20"/>
        <w:ind w:left="576"/>
      </w:pPr>
      <w:r>
        <w:rPr>
          <w:rFonts w:ascii="Calibri" w:hAnsi="Calibri"/>
          <w:b w:val="0"/>
          <w:i w:val="0"/>
          <w:color w:val="000000"/>
          <w:sz w:val="18"/>
        </w:rPr>
        <w:t>B. Bhinneka Tunggal Ika</w:t>
      </w:r>
    </w:p>
    <w:p>
      <w:pPr>
        <w:spacing w:before="0" w:after="20"/>
        <w:ind w:left="576"/>
      </w:pPr>
      <w:r>
        <w:rPr>
          <w:rFonts w:ascii="Calibri" w:hAnsi="Calibri"/>
          <w:b w:val="0"/>
          <w:i w:val="0"/>
          <w:color w:val="000000"/>
          <w:sz w:val="18"/>
        </w:rPr>
        <w:t>C. Ing Ngarso Sung Tulodo</w:t>
      </w:r>
    </w:p>
    <w:p>
      <w:pPr>
        <w:spacing w:before="0" w:after="20"/>
        <w:ind w:left="576"/>
      </w:pPr>
      <w:r>
        <w:rPr>
          <w:rFonts w:ascii="Calibri" w:hAnsi="Calibri"/>
          <w:b w:val="0"/>
          <w:i w:val="0"/>
          <w:color w:val="000000"/>
          <w:sz w:val="18"/>
        </w:rPr>
        <w:t>D. Garuda Pancasila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Bhinneka Tunggal Ika merupakan semboyan persatuan nasional yang tertulis pada pita Garuda Pancasila.</w:t>
      </w:r>
    </w:p>
    <w:p>
      <w:pPr>
        <w:spacing w:before="80" w:after="40"/>
        <w:ind w:left="216"/>
      </w:pPr>
      <w:r>
        <w:rPr>
          <w:rFonts w:ascii="Calibri" w:hAnsi="Calibri"/>
          <w:b/>
          <w:color w:val="000000"/>
          <w:sz w:val="19"/>
        </w:rPr>
        <w:t xml:space="preserve">2. </w:t>
      </w:r>
      <w:r>
        <w:rPr>
          <w:rFonts w:ascii="Calibri" w:hAnsi="Calibri"/>
          <w:b w:val="0"/>
          <w:i w:val="0"/>
          <w:color w:val="000000"/>
          <w:sz w:val="19"/>
        </w:rPr>
        <w:t>Ketika teman yang beragama lain sedang menjalankan ibadah, sikap kita yang benar adalah...</w:t>
      </w:r>
    </w:p>
    <w:p>
      <w:pPr>
        <w:spacing w:before="0" w:after="20"/>
        <w:ind w:left="576"/>
      </w:pPr>
      <w:r>
        <w:rPr>
          <w:rFonts w:ascii="Calibri" w:hAnsi="Calibri"/>
          <w:b w:val="0"/>
          <w:i w:val="0"/>
          <w:color w:val="000000"/>
          <w:sz w:val="18"/>
        </w:rPr>
        <w:t>A. Mengganggunya</w:t>
      </w:r>
    </w:p>
    <w:p>
      <w:pPr>
        <w:spacing w:before="0" w:after="20"/>
        <w:ind w:left="576"/>
      </w:pPr>
      <w:r>
        <w:rPr>
          <w:rFonts w:ascii="Calibri" w:hAnsi="Calibri"/>
          <w:b w:val="0"/>
          <w:i w:val="0"/>
          <w:color w:val="000000"/>
          <w:sz w:val="18"/>
        </w:rPr>
        <w:t>B. Tidak membuat kegaduhan dan menghormatinya</w:t>
      </w:r>
    </w:p>
    <w:p>
      <w:pPr>
        <w:spacing w:before="0" w:after="20"/>
        <w:ind w:left="576"/>
      </w:pPr>
      <w:r>
        <w:rPr>
          <w:rFonts w:ascii="Calibri" w:hAnsi="Calibri"/>
          <w:b w:val="0"/>
          <w:i w:val="0"/>
          <w:color w:val="000000"/>
          <w:sz w:val="18"/>
        </w:rPr>
        <w:t>C. Mengajaknya bermain dengan paksa</w:t>
      </w:r>
    </w:p>
    <w:p>
      <w:pPr>
        <w:spacing w:before="0" w:after="20"/>
        <w:ind w:left="576"/>
      </w:pPr>
      <w:r>
        <w:rPr>
          <w:rFonts w:ascii="Calibri" w:hAnsi="Calibri"/>
          <w:b w:val="0"/>
          <w:i w:val="0"/>
          <w:color w:val="000000"/>
          <w:sz w:val="18"/>
        </w:rPr>
        <w:t>D. Menertawakannya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Menjaga ketenangan saat orang lain beribadah merupakan wujud toleransi beragama.</w:t>
      </w:r>
    </w:p>
    <w:p>
      <w:pPr>
        <w:spacing w:before="80" w:after="40"/>
        <w:ind w:left="216"/>
      </w:pPr>
      <w:r>
        <w:rPr>
          <w:rFonts w:ascii="Calibri" w:hAnsi="Calibri"/>
          <w:b/>
          <w:color w:val="000000"/>
          <w:sz w:val="19"/>
        </w:rPr>
        <w:t xml:space="preserve">3. </w:t>
      </w:r>
      <w:r>
        <w:rPr>
          <w:rFonts w:ascii="Calibri" w:hAnsi="Calibri"/>
          <w:b w:val="0"/>
          <w:i w:val="0"/>
          <w:color w:val="000000"/>
          <w:sz w:val="19"/>
        </w:rPr>
        <w:t>Edo berasal dari Papua berkulit gelap dan berambut keriting, sedangkan Siti berasal dari Sunda berkulit kuning langsat. Sikap mereka sebaiknya...</w:t>
      </w:r>
    </w:p>
    <w:p>
      <w:pPr>
        <w:spacing w:before="0" w:after="20"/>
        <w:ind w:left="576"/>
      </w:pPr>
      <w:r>
        <w:rPr>
          <w:rFonts w:ascii="Calibri" w:hAnsi="Calibri"/>
          <w:b w:val="0"/>
          <w:i w:val="0"/>
          <w:color w:val="000000"/>
          <w:sz w:val="18"/>
        </w:rPr>
        <w:t>A. Saling mengejek ciri fisik</w:t>
      </w:r>
    </w:p>
    <w:p>
      <w:pPr>
        <w:spacing w:before="0" w:after="20"/>
        <w:ind w:left="576"/>
      </w:pPr>
      <w:r>
        <w:rPr>
          <w:rFonts w:ascii="Calibri" w:hAnsi="Calibri"/>
          <w:b w:val="0"/>
          <w:i w:val="0"/>
          <w:color w:val="000000"/>
          <w:sz w:val="18"/>
        </w:rPr>
        <w:t>B. Tetap berteman akrab dan saling menghargai</w:t>
      </w:r>
    </w:p>
    <w:p>
      <w:pPr>
        <w:spacing w:before="0" w:after="20"/>
        <w:ind w:left="576"/>
      </w:pPr>
      <w:r>
        <w:rPr>
          <w:rFonts w:ascii="Calibri" w:hAnsi="Calibri"/>
          <w:b w:val="0"/>
          <w:i w:val="0"/>
          <w:color w:val="000000"/>
          <w:sz w:val="18"/>
        </w:rPr>
        <w:t>C. Tidak mau duduk sebangku</w:t>
      </w:r>
    </w:p>
    <w:p>
      <w:pPr>
        <w:spacing w:before="0" w:after="20"/>
        <w:ind w:left="576"/>
      </w:pPr>
      <w:r>
        <w:rPr>
          <w:rFonts w:ascii="Calibri" w:hAnsi="Calibri"/>
          <w:b w:val="0"/>
          <w:i w:val="0"/>
          <w:color w:val="000000"/>
          <w:sz w:val="18"/>
        </w:rPr>
        <w:t>D. Bertengkar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Perbedaan ciri fisik adalah anugerah Tuhan yang wajib disyukuri dan dihargai dalam pertemanan.</w:t>
      </w:r>
    </w:p>
    <w:p>
      <w:pPr>
        <w:spacing w:before="80" w:after="40"/>
        <w:ind w:left="216"/>
      </w:pPr>
      <w:r>
        <w:rPr>
          <w:rFonts w:ascii="Calibri" w:hAnsi="Calibri"/>
          <w:b/>
          <w:color w:val="000000"/>
          <w:sz w:val="19"/>
        </w:rPr>
        <w:t xml:space="preserve">4. </w:t>
      </w:r>
      <w:r>
        <w:rPr>
          <w:rFonts w:ascii="Calibri" w:hAnsi="Calibri"/>
          <w:b w:val="0"/>
          <w:i w:val="0"/>
          <w:color w:val="000000"/>
          <w:sz w:val="19"/>
        </w:rPr>
        <w:t>Pita semboyan Bhinneka Tunggal Ika pada lambang Garuda Pancasila terletak di bagian...</w:t>
      </w:r>
    </w:p>
    <w:p>
      <w:pPr>
        <w:spacing w:before="0" w:after="20"/>
        <w:ind w:left="576"/>
      </w:pPr>
      <w:r>
        <w:rPr>
          <w:rFonts w:ascii="Calibri" w:hAnsi="Calibri"/>
          <w:b w:val="0"/>
          <w:i w:val="0"/>
          <w:color w:val="000000"/>
          <w:sz w:val="18"/>
        </w:rPr>
        <w:t>A. Di atas kepala Garuda</w:t>
      </w:r>
    </w:p>
    <w:p>
      <w:pPr>
        <w:spacing w:before="0" w:after="20"/>
        <w:ind w:left="576"/>
      </w:pPr>
      <w:r>
        <w:rPr>
          <w:rFonts w:ascii="Calibri" w:hAnsi="Calibri"/>
          <w:b w:val="0"/>
          <w:i w:val="0"/>
          <w:color w:val="000000"/>
          <w:sz w:val="18"/>
        </w:rPr>
        <w:t>B. Di dalam perisai</w:t>
      </w:r>
    </w:p>
    <w:p>
      <w:pPr>
        <w:spacing w:before="0" w:after="20"/>
        <w:ind w:left="576"/>
      </w:pPr>
      <w:r>
        <w:rPr>
          <w:rFonts w:ascii="Calibri" w:hAnsi="Calibri"/>
          <w:b w:val="0"/>
          <w:i w:val="0"/>
          <w:color w:val="000000"/>
          <w:sz w:val="18"/>
        </w:rPr>
        <w:t>C. Dicengkeram oleh kedua kaki Garuda</w:t>
      </w:r>
    </w:p>
    <w:p>
      <w:pPr>
        <w:spacing w:before="0" w:after="20"/>
        <w:ind w:left="576"/>
      </w:pPr>
      <w:r>
        <w:rPr>
          <w:rFonts w:ascii="Calibri" w:hAnsi="Calibri"/>
          <w:b w:val="0"/>
          <w:i w:val="0"/>
          <w:color w:val="000000"/>
          <w:sz w:val="18"/>
        </w:rPr>
        <w:t>D. Di sayap kanan Garuda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Pita putih bertuliskan 'Bhinneka Tunggal Ika' dicengkeram kokoh oleh kedua cakar kaki burung Garuda.</w:t>
      </w:r>
    </w:p>
    <w:p>
      <w:pPr>
        <w:spacing w:before="80" w:after="40"/>
        <w:ind w:left="216"/>
      </w:pPr>
      <w:r>
        <w:rPr>
          <w:rFonts w:ascii="Calibri" w:hAnsi="Calibri"/>
          <w:b/>
          <w:color w:val="000000"/>
          <w:sz w:val="19"/>
        </w:rPr>
        <w:t xml:space="preserve">5. </w:t>
      </w:r>
      <w:r>
        <w:rPr>
          <w:rFonts w:ascii="Calibri" w:hAnsi="Calibri"/>
          <w:b w:val="0"/>
          <w:i w:val="0"/>
          <w:color w:val="000000"/>
          <w:sz w:val="19"/>
        </w:rPr>
        <w:t>Contoh perbuatan yang dapat merusak kerukunan antar-teman di sekolah adalah...</w:t>
      </w:r>
    </w:p>
    <w:p>
      <w:pPr>
        <w:spacing w:before="0" w:after="20"/>
        <w:ind w:left="576"/>
      </w:pPr>
      <w:r>
        <w:rPr>
          <w:rFonts w:ascii="Calibri" w:hAnsi="Calibri"/>
          <w:b w:val="0"/>
          <w:i w:val="0"/>
          <w:color w:val="000000"/>
          <w:sz w:val="18"/>
        </w:rPr>
        <w:t>A. Berbagi bekal makanan</w:t>
      </w:r>
    </w:p>
    <w:p>
      <w:pPr>
        <w:spacing w:before="0" w:after="20"/>
        <w:ind w:left="576"/>
      </w:pPr>
      <w:r>
        <w:rPr>
          <w:rFonts w:ascii="Calibri" w:hAnsi="Calibri"/>
          <w:b w:val="0"/>
          <w:i w:val="0"/>
          <w:color w:val="000000"/>
          <w:sz w:val="18"/>
        </w:rPr>
        <w:t>B. Mengejek logat bahasa daerah teman</w:t>
      </w:r>
    </w:p>
    <w:p>
      <w:pPr>
        <w:spacing w:before="0" w:after="20"/>
        <w:ind w:left="576"/>
      </w:pPr>
      <w:r>
        <w:rPr>
          <w:rFonts w:ascii="Calibri" w:hAnsi="Calibri"/>
          <w:b w:val="0"/>
          <w:i w:val="0"/>
          <w:color w:val="000000"/>
          <w:sz w:val="18"/>
        </w:rPr>
        <w:t>C. Mengerjakan tugas kelompok bersama</w:t>
      </w:r>
    </w:p>
    <w:p>
      <w:pPr>
        <w:spacing w:before="0" w:after="20"/>
        <w:ind w:left="576"/>
      </w:pPr>
      <w:r>
        <w:rPr>
          <w:rFonts w:ascii="Calibri" w:hAnsi="Calibri"/>
          <w:b w:val="0"/>
          <w:i w:val="0"/>
          <w:color w:val="000000"/>
          <w:sz w:val="18"/>
        </w:rPr>
        <w:t>D. Menjenguk teman yang sakit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Mengejek bahasa atau adat orang lain menimbulkan sakit hati dan memicu perpecahan.</w:t>
      </w:r>
    </w:p>
    <w:p>
      <w:r>
        <w:br w:type="page"/>
      </w:r>
    </w:p>
    <w:p>
      <w:pPr>
        <w:pStyle w:val="Title"/>
      </w:pPr>
      <w:r>
        <w:t>LEMBAR KERJA PESERTA DIDIK (LKPD)</w:t>
      </w:r>
    </w:p>
    <w:p>
      <w:pPr>
        <w:pStyle w:val="Subtitle"/>
      </w:pPr>
      <w:r>
        <w:t>Mata Pelajaran: Pendidikan Pancasila • Bab 3: Kita Berbeda tapi Tetap Satu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Identitas Diri dan Teman Sebaya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ciri fisik, asal daerah orang tua, dan bahasa daerah yang digunakan teman di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Menghargai Keragaman Agama dan Budaya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6 agama resmi di Indonesia dan tempat ibadahnya serta menghormati perayaan hari besar teman.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Mengamalkan Semboyan Bhinneka Tunggal Ika</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sikap hidup rukun dan tidak membeda-bedakan teman saat bermain dan belajar.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Keberagaman merupakan kekayaan bangsa Indonesia yang harus dijaga dengan sikap saling menghargai. Pada bab ini, peserta didik mengeksplorasi keragaman identitas diri dan teman sekelas, meliputi ciri fisik, kegemaran, suku asal, dan agama.</w:t>
      </w:r>
    </w:p>
    <w:p>
      <w:pPr>
        <w:spacing w:before="40" w:after="60" w:line="276" w:lineRule="auto"/>
      </w:pPr>
      <w:r>
        <w:rPr>
          <w:rFonts w:ascii="Calibri" w:hAnsi="Calibri"/>
          <w:b w:val="0"/>
          <w:i w:val="0"/>
          <w:color w:val="000000"/>
          <w:sz w:val="19"/>
        </w:rPr>
        <w:t>Peserta didik diperkenalkan pada semboyan negara 'Bhinneka Tunggal Ika' yang tercengkeram pada kaki burung Garuda, bermakna meskipun berbeda-beda tetapi pada hakikatnya bangsa Indonesia tetap satu kesatuan.</w:t>
      </w:r>
    </w:p>
    <w:p>
      <w:pPr>
        <w:spacing w:before="40" w:after="60" w:line="276" w:lineRule="auto"/>
      </w:pPr>
      <w:r>
        <w:rPr>
          <w:rFonts w:ascii="Calibri" w:hAnsi="Calibri"/>
          <w:b w:val="0"/>
          <w:i w:val="0"/>
          <w:color w:val="000000"/>
          <w:sz w:val="19"/>
        </w:rPr>
        <w:t>Melalui interaksi kelompok, peserta didik belajar bersikap inklusif, tidak memilih-milih teman bermain berdasarkan latar belakang suku atau agama, serta saling tolong-menolong dalam suasana kehangatan persaudaraan.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Bhinneka Tunggal Ika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Semboyan resmi bangsa Indonesia yang bermakna berbeda-beda tetapi tetap satu jua.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Ciri khas atau keadaan khusus seseorang yang membedakannya dari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Toleransi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lapang dada menghormati perbedaan keyakinan, pendapat, dan kebiasaan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Suku Bangsa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Golongan sosial yang memiliki kesamaan asal-usul, bahasa daerah, dan adat istiadat.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