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Penegakan Hukum Berkeadilan dan Perlindungan HAM</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hakikat negara hukum dan prinsip persamaan di hadapan hukum.</w:t>
      </w:r>
    </w:p>
    <w:p>
      <w:pPr>
        <w:pStyle w:val="ListNumber"/>
      </w:pPr>
      <w:r>
        <w:rPr>
          <w:rFonts w:ascii="Calibri" w:hAnsi="Calibri"/>
          <w:b w:val="0"/>
          <w:i w:val="0"/>
          <w:color w:val="000000"/>
          <w:sz w:val="19"/>
        </w:rPr>
        <w:t>Peserta didik mampu mengevaluasi peran dan kewenangan berbagai lembaga penegak hukum di Indonesia.</w:t>
      </w:r>
    </w:p>
    <w:p>
      <w:pPr>
        <w:pStyle w:val="ListNumber"/>
      </w:pPr>
      <w:r>
        <w:rPr>
          <w:rFonts w:ascii="Calibri" w:hAnsi="Calibri"/>
          <w:b w:val="0"/>
          <w:i w:val="0"/>
          <w:color w:val="000000"/>
          <w:sz w:val="19"/>
        </w:rPr>
        <w:t>Peserta didik mampu menganalisis jaminan perlindungan HAM dalam konstitusi dan menyikapi kasus pelanggaran hukum secara adil.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Hakikat negara hukum dan supremasi hukum, peran lembaga penegak hukum di Indonesia (Kepolisian, Kejaksaan, Kehakiman/MA/MK, KPK, Advokat), jaminan perlindungan Hak Asasi Manusia dalam UUD NRI 1945 (Pasal 28A-28J), serta penanganan kasus pelanggaran hukum.</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Prinsip Supremasi Hukum dan Asas Equality Before The Law</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asas legalitas, asas praduga tak bersalah (presumption of innocence), dan peradilan independen.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Peran dan Kewenangan Lembaga Penegak Hukum di Indonesia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wewenang Polri, Jaksa Penuntut Umum, Hakim Pengadilan, KPK, dan Penasihat Hukum.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Jaminan Perlindungan Hak Asasi Manusia dalam Konstitusi (Pasal 28A-28J)</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hak non-derogable rights (hak hidup, bebas dari penyiksaan) vs hak yang dapat dibatasi undang-undang.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Analisis Kasus Pelanggaran Hukum dan Perlindungan Saksi/Korban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Mengkaji mekanisme peradilan pidana, diversi anak, dan peran Lembaga Perlindungan Saksi dan Korban (LPSK).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Asas hukum yang menyatakan bahwa seseorang yang dituduh melakukan tindak pidana harus dianggap tidak bersalah sebelum ada putusan hakim pengadilan yang berkekuatan hukum tetap disebut...</w:t>
      </w:r>
    </w:p>
    <w:p>
      <w:pPr>
        <w:spacing w:before="0" w:after="20"/>
        <w:ind w:left="576"/>
      </w:pPr>
      <w:r>
        <w:rPr>
          <w:rFonts w:ascii="Calibri" w:hAnsi="Calibri"/>
          <w:b w:val="0"/>
          <w:i w:val="0"/>
          <w:color w:val="000000"/>
          <w:sz w:val="18"/>
        </w:rPr>
        <w:t>Presumption of Innocence (Asas Praduga Tak Bersalah)</w:t>
      </w:r>
    </w:p>
    <w:p>
      <w:pPr>
        <w:spacing w:before="0" w:after="20"/>
        <w:ind w:left="576"/>
      </w:pPr>
      <w:r>
        <w:rPr>
          <w:rFonts w:ascii="Calibri" w:hAnsi="Calibri"/>
          <w:b w:val="0"/>
          <w:i w:val="0"/>
          <w:color w:val="000000"/>
          <w:sz w:val="18"/>
        </w:rPr>
        <w:t>Asas Lex Specialis Derogat Legi Generali</w:t>
      </w:r>
    </w:p>
    <w:p>
      <w:pPr>
        <w:spacing w:before="0" w:after="20"/>
        <w:ind w:left="576"/>
      </w:pPr>
      <w:r>
        <w:rPr>
          <w:rFonts w:ascii="Calibri" w:hAnsi="Calibri"/>
          <w:b w:val="0"/>
          <w:i w:val="0"/>
          <w:color w:val="000000"/>
          <w:sz w:val="18"/>
        </w:rPr>
        <w:t>Asas Retroaktif Hukum</w:t>
      </w:r>
    </w:p>
    <w:p>
      <w:pPr>
        <w:spacing w:before="0" w:after="20"/>
        <w:ind w:left="576"/>
      </w:pPr>
      <w:r>
        <w:rPr>
          <w:rFonts w:ascii="Calibri" w:hAnsi="Calibri"/>
          <w:b w:val="0"/>
          <w:i w:val="0"/>
          <w:color w:val="000000"/>
          <w:sz w:val="18"/>
        </w:rPr>
        <w:t>Asas Ne Bis In Idem</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Praduga tak bersalah melindungi hak tersangka dari vonis sepihak sebelum pembuktian persidangan resmi.</w:t>
      </w:r>
    </w:p>
    <w:p>
      <w:pPr>
        <w:spacing w:before="80" w:after="40"/>
        <w:ind w:left="216"/>
      </w:pPr>
      <w:r>
        <w:rPr>
          <w:rFonts w:ascii="Calibri" w:hAnsi="Calibri"/>
          <w:b/>
          <w:color w:val="000000"/>
          <w:sz w:val="19"/>
        </w:rPr>
        <w:t xml:space="preserve">2. </w:t>
      </w:r>
      <w:r>
        <w:rPr>
          <w:rFonts w:ascii="Calibri" w:hAnsi="Calibri"/>
          <w:b w:val="0"/>
          <w:i w:val="0"/>
          <w:color w:val="000000"/>
          <w:sz w:val="19"/>
        </w:rPr>
        <w:t>Lembaga penegak hukum di Indonesia yang memiliki kewenangan resmi melakukan penuntutan perkara pidana di muka sidang pengadilan dan melaksanakan penetapan hakim adalah...</w:t>
      </w:r>
    </w:p>
    <w:p>
      <w:pPr>
        <w:spacing w:before="0" w:after="20"/>
        <w:ind w:left="576"/>
      </w:pPr>
      <w:r>
        <w:rPr>
          <w:rFonts w:ascii="Calibri" w:hAnsi="Calibri"/>
          <w:b w:val="0"/>
          <w:i w:val="0"/>
          <w:color w:val="000000"/>
          <w:sz w:val="18"/>
        </w:rPr>
        <w:t>Kejaksaan Republik Indonesia (Jaksa Penuntut Umum)</w:t>
      </w:r>
    </w:p>
    <w:p>
      <w:pPr>
        <w:spacing w:before="0" w:after="20"/>
        <w:ind w:left="576"/>
      </w:pPr>
      <w:r>
        <w:rPr>
          <w:rFonts w:ascii="Calibri" w:hAnsi="Calibri"/>
          <w:b w:val="0"/>
          <w:i w:val="0"/>
          <w:color w:val="000000"/>
          <w:sz w:val="18"/>
        </w:rPr>
        <w:t>Kepolisian Negara Republik Indonesia</w:t>
      </w:r>
    </w:p>
    <w:p>
      <w:pPr>
        <w:spacing w:before="0" w:after="20"/>
        <w:ind w:left="576"/>
      </w:pPr>
      <w:r>
        <w:rPr>
          <w:rFonts w:ascii="Calibri" w:hAnsi="Calibri"/>
          <w:b w:val="0"/>
          <w:i w:val="0"/>
          <w:color w:val="000000"/>
          <w:sz w:val="18"/>
        </w:rPr>
        <w:t>Komisi Yudisial</w:t>
      </w:r>
    </w:p>
    <w:p>
      <w:pPr>
        <w:spacing w:before="0" w:after="20"/>
        <w:ind w:left="576"/>
      </w:pPr>
      <w:r>
        <w:rPr>
          <w:rFonts w:ascii="Calibri" w:hAnsi="Calibri"/>
          <w:b w:val="0"/>
          <w:i w:val="0"/>
          <w:color w:val="000000"/>
          <w:sz w:val="18"/>
        </w:rPr>
        <w:t>Lembaga Bantuan Hukum Swasta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Kejaksaan RI merupakan lembaga tunggal pelaksana penuntutan pidana umum mewakili kepentingan negara dan masyarakat.</w:t>
      </w:r>
    </w:p>
    <w:p>
      <w:pPr>
        <w:spacing w:before="80" w:after="40"/>
        <w:ind w:left="216"/>
      </w:pPr>
      <w:r>
        <w:rPr>
          <w:rFonts w:ascii="Calibri" w:hAnsi="Calibri"/>
          <w:b/>
          <w:color w:val="000000"/>
          <w:sz w:val="19"/>
        </w:rPr>
        <w:t xml:space="preserve">3. </w:t>
      </w:r>
      <w:r>
        <w:rPr>
          <w:rFonts w:ascii="Calibri" w:hAnsi="Calibri"/>
          <w:b w:val="0"/>
          <w:i w:val="0"/>
          <w:color w:val="000000"/>
          <w:sz w:val="19"/>
        </w:rPr>
        <w:t>Contoh hak asasi manusia yang tergolong sebagai 'Non-Derogable Rights' (tidak dapat dikurangi dalam kondisi apa pun) menurut Pasal 28I Ayat (1) UUD NRI 1945 adalah...</w:t>
      </w:r>
    </w:p>
    <w:p>
      <w:pPr>
        <w:spacing w:before="0" w:after="20"/>
        <w:ind w:left="576"/>
      </w:pPr>
      <w:r>
        <w:rPr>
          <w:rFonts w:ascii="Calibri" w:hAnsi="Calibri"/>
          <w:b w:val="0"/>
          <w:i w:val="0"/>
          <w:color w:val="000000"/>
          <w:sz w:val="18"/>
        </w:rPr>
        <w:t>Hak untuk hidup, hak untuk tidak disiksa, dan hak kebebasan hati nurani dan agama</w:t>
      </w:r>
    </w:p>
    <w:p>
      <w:pPr>
        <w:spacing w:before="0" w:after="20"/>
        <w:ind w:left="576"/>
      </w:pPr>
      <w:r>
        <w:rPr>
          <w:rFonts w:ascii="Calibri" w:hAnsi="Calibri"/>
          <w:b w:val="0"/>
          <w:i w:val="0"/>
          <w:color w:val="000000"/>
          <w:sz w:val="18"/>
        </w:rPr>
        <w:t>Hak memiliki senjata api bebas</w:t>
      </w:r>
    </w:p>
    <w:p>
      <w:pPr>
        <w:spacing w:before="0" w:after="20"/>
        <w:ind w:left="576"/>
      </w:pPr>
      <w:r>
        <w:rPr>
          <w:rFonts w:ascii="Calibri" w:hAnsi="Calibri"/>
          <w:b w:val="0"/>
          <w:i w:val="0"/>
          <w:color w:val="000000"/>
          <w:sz w:val="18"/>
        </w:rPr>
        <w:t>Hak menolak membayar retribusi sampah</w:t>
      </w:r>
    </w:p>
    <w:p>
      <w:pPr>
        <w:spacing w:before="0" w:after="20"/>
        <w:ind w:left="576"/>
      </w:pPr>
      <w:r>
        <w:rPr>
          <w:rFonts w:ascii="Calibri" w:hAnsi="Calibri"/>
          <w:b w:val="0"/>
          <w:i w:val="0"/>
          <w:color w:val="000000"/>
          <w:sz w:val="18"/>
        </w:rPr>
        <w:t>Hak mendirikan partai politik tanpa izin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Pasal 28I Ayat (1) menegaskan hak hidup, bebas dari siksaan, dan kemerdekaan pikiran/hati nurani adalah hak asasi mutlak.</w:t>
      </w:r>
    </w:p>
    <w:p>
      <w:pPr>
        <w:spacing w:before="80" w:after="40"/>
        <w:ind w:left="216"/>
      </w:pPr>
      <w:r>
        <w:rPr>
          <w:rFonts w:ascii="Calibri" w:hAnsi="Calibri"/>
          <w:b/>
          <w:color w:val="000000"/>
          <w:sz w:val="19"/>
        </w:rPr>
        <w:t xml:space="preserve">4. </w:t>
      </w:r>
      <w:r>
        <w:rPr>
          <w:rFonts w:ascii="Calibri" w:hAnsi="Calibri"/>
          <w:b w:val="0"/>
          <w:i w:val="0"/>
          <w:color w:val="000000"/>
          <w:sz w:val="19"/>
        </w:rPr>
        <w:t>Pemberian bantuan hukum cuma-cuma bagi masyarakat miskin yang tersangkut masalah hukum dijamin oleh negara melalui keberadaan...</w:t>
      </w:r>
    </w:p>
    <w:p>
      <w:pPr>
        <w:spacing w:before="0" w:after="20"/>
        <w:ind w:left="576"/>
      </w:pPr>
      <w:r>
        <w:rPr>
          <w:rFonts w:ascii="Calibri" w:hAnsi="Calibri"/>
          <w:b w:val="0"/>
          <w:i w:val="0"/>
          <w:color w:val="000000"/>
          <w:sz w:val="18"/>
        </w:rPr>
        <w:t>Advokat dan Organisasi Bantuan Hukum (OBH) yang terakreditasi Kemenkumham</w:t>
      </w:r>
    </w:p>
    <w:p>
      <w:pPr>
        <w:spacing w:before="0" w:after="20"/>
        <w:ind w:left="576"/>
      </w:pPr>
      <w:r>
        <w:rPr>
          <w:rFonts w:ascii="Calibri" w:hAnsi="Calibri"/>
          <w:b w:val="0"/>
          <w:i w:val="0"/>
          <w:color w:val="000000"/>
          <w:sz w:val="18"/>
        </w:rPr>
        <w:t>Pasukan pengamanan swakarsa</w:t>
      </w:r>
    </w:p>
    <w:p>
      <w:pPr>
        <w:spacing w:before="0" w:after="20"/>
        <w:ind w:left="576"/>
      </w:pPr>
      <w:r>
        <w:rPr>
          <w:rFonts w:ascii="Calibri" w:hAnsi="Calibri"/>
          <w:b w:val="0"/>
          <w:i w:val="0"/>
          <w:color w:val="000000"/>
          <w:sz w:val="18"/>
        </w:rPr>
        <w:t>Saksi ahli bayaran</w:t>
      </w:r>
    </w:p>
    <w:p>
      <w:pPr>
        <w:spacing w:before="0" w:after="20"/>
        <w:ind w:left="576"/>
      </w:pPr>
      <w:r>
        <w:rPr>
          <w:rFonts w:ascii="Calibri" w:hAnsi="Calibri"/>
          <w:b w:val="0"/>
          <w:i w:val="0"/>
          <w:color w:val="000000"/>
          <w:sz w:val="18"/>
        </w:rPr>
        <w:t>Dewan kehormatan partai politik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UU No. 16/2011 tentang Bantuan Hukum menjamin akses keadilan cuma-cuma bagi warga miskin melalui advokat/OBH.</w:t>
      </w:r>
    </w:p>
    <w:p>
      <w:pPr>
        <w:spacing w:before="80" w:after="40"/>
        <w:ind w:left="216"/>
      </w:pPr>
      <w:r>
        <w:rPr>
          <w:rFonts w:ascii="Calibri" w:hAnsi="Calibri"/>
          <w:b/>
          <w:color w:val="000000"/>
          <w:sz w:val="19"/>
        </w:rPr>
        <w:t xml:space="preserve">5. </w:t>
      </w:r>
      <w:r>
        <w:rPr>
          <w:rFonts w:ascii="Calibri" w:hAnsi="Calibri"/>
          <w:b w:val="0"/>
          <w:i w:val="0"/>
          <w:color w:val="000000"/>
          <w:sz w:val="19"/>
        </w:rPr>
        <w:t>Pendekatan 'Keadilan Restoratif' (Restorative Justice) dalam penyelesaian perkara pidana anak menitikberatkan pada...</w:t>
      </w:r>
    </w:p>
    <w:p>
      <w:pPr>
        <w:spacing w:before="0" w:after="20"/>
        <w:ind w:left="576"/>
      </w:pPr>
      <w:r>
        <w:rPr>
          <w:rFonts w:ascii="Calibri" w:hAnsi="Calibri"/>
          <w:b w:val="0"/>
          <w:i w:val="0"/>
          <w:color w:val="000000"/>
          <w:sz w:val="18"/>
        </w:rPr>
        <w:t>Pemulihan keadaan kembali, rekonsiliasi antara pelaku-korban, dan pertanggungjawaban moral tanpa pemenjaraan balas dendam</w:t>
      </w:r>
    </w:p>
    <w:p>
      <w:pPr>
        <w:spacing w:before="0" w:after="20"/>
        <w:ind w:left="576"/>
      </w:pPr>
      <w:r>
        <w:rPr>
          <w:rFonts w:ascii="Calibri" w:hAnsi="Calibri"/>
          <w:b w:val="0"/>
          <w:i w:val="0"/>
          <w:color w:val="000000"/>
          <w:sz w:val="18"/>
        </w:rPr>
        <w:t>Hukuman penjara maksimal di sel isolasi tertutup</w:t>
      </w:r>
    </w:p>
    <w:p>
      <w:pPr>
        <w:spacing w:before="0" w:after="20"/>
        <w:ind w:left="576"/>
      </w:pPr>
      <w:r>
        <w:rPr>
          <w:rFonts w:ascii="Calibri" w:hAnsi="Calibri"/>
          <w:b w:val="0"/>
          <w:i w:val="0"/>
          <w:color w:val="000000"/>
          <w:sz w:val="18"/>
        </w:rPr>
        <w:t>Pembayaran denda uang tunai sebesar-besarnya</w:t>
      </w:r>
    </w:p>
    <w:p>
      <w:pPr>
        <w:spacing w:before="0" w:after="20"/>
        <w:ind w:left="576"/>
      </w:pPr>
      <w:r>
        <w:rPr>
          <w:rFonts w:ascii="Calibri" w:hAnsi="Calibri"/>
          <w:b w:val="0"/>
          <w:i w:val="0"/>
          <w:color w:val="000000"/>
          <w:sz w:val="18"/>
        </w:rPr>
        <w:t>Pengusiran pelaku dari wilayah tempat tinggalnya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Restorative justice mengutamakan mediasi, pemulihan kerugian korban, dan rehabilitasi masa depan anak.</w:t>
      </w:r>
    </w:p>
    <w:p>
      <w:r>
        <w:br w:type="page"/>
      </w:r>
    </w:p>
    <w:p>
      <w:pPr>
        <w:pStyle w:val="Title"/>
      </w:pPr>
      <w:r>
        <w:t>LEMBAR KERJA PESERTA DIDIK (LKPD)</w:t>
      </w:r>
    </w:p>
    <w:p>
      <w:pPr>
        <w:pStyle w:val="Subtitle"/>
      </w:pPr>
      <w:r>
        <w:t>Mata Pelajaran: Pendidikan Pancasila • Bab 2: Penegakan Hukum Berkeadilan dan Perlindungan HAM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Prinsip Supremasi Hukum dan Asas Equality Before The Law</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asas legalitas, asas praduga tak bersalah (presumption of innocence), dan peradilan independen.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Peran dan Kewenangan Lembaga Penegak Hukum di Indonesia</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wewenang Polri, Jaksa Penuntut Umum, Hakim Pengadilan, KPK, dan Penasihat Hukum.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Jaminan Perlindungan Hak Asasi Manusia dalam Konstitusi (Pasal 28A-28J)</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hak non-derogable rights (hak hidup, bebas dari penyiksaan) vs hak yang dapat dibatasi undang-undang.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Analisis Kasus Pelanggaran Hukum dan Perlindungan Saksi/Korban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Mengkaji mekanisme peradilan pidana, diversi anak, dan peran Lembaga Perlindungan Saksi dan Korban (LPSK).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Sebagai negara hukum (*Rechtsstaat*) sebagaimana ditegaskan dalam Pasal 1 Ayat (3) UUD NRI 1945, hukum di Indonesia berkedudukan tertinggi (*supremasi hukum*), menjamin persamaan setiap warga negara di hadapan hukum (*equality before the law*), dan memberikan kepastian serta keadilan substantif.</w:t>
      </w:r>
    </w:p>
    <w:p>
      <w:pPr>
        <w:spacing w:before="40" w:after="60" w:line="276" w:lineRule="auto"/>
      </w:pPr>
      <w:r>
        <w:rPr>
          <w:rFonts w:ascii="Calibri" w:hAnsi="Calibri"/>
          <w:b w:val="0"/>
          <w:i w:val="0"/>
          <w:color w:val="000000"/>
          <w:sz w:val="19"/>
        </w:rPr>
        <w:t>Penyelenggaraan peradilan yang adil dan tidak memihak (*fair trial*) ditopang oleh sinergi lembaga penegak hukum: Kepolisian RI (penyelidikan/penyidikan ketertiban), Kejaksaan RI (penuntutan pidana dan eksekutor putusan), Badan Peradilan di bawah Mahkamah Agung (pemeriksa dan pemutus perkara), Komisi Pemberantasan Korupsi (KPK), serta Advokat sebagai penasihat hukum independen.</w:t>
      </w:r>
    </w:p>
    <w:p>
      <w:pPr>
        <w:spacing w:before="40" w:after="60" w:line="276" w:lineRule="auto"/>
      </w:pPr>
      <w:r>
        <w:rPr>
          <w:rFonts w:ascii="Calibri" w:hAnsi="Calibri"/>
          <w:b w:val="0"/>
          <w:i w:val="0"/>
          <w:color w:val="000000"/>
          <w:sz w:val="19"/>
        </w:rPr>
        <w:t>Jaminan konstitusional Hak Asasi Manusia yang termaktub secara komprehensif dalam Pasal 28A hingga 28J UUD NRI 1945 mewajibkan negara menghormati, melindungi, dan menegakkan hak asasi setiap individu sembari menuntut kewajiban asasi menghormati hak orang lain.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Supremasi Hukum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kekuasaan tertinggi dalam suatu negara dipegang oleh hukum, di mana semua penguasa dan warga negara wajib tunduk pada hukum yang berlaku.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Equality Before The Law</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Asas kesetaraan mutlak di mana setiap warga negara berkedudukan sama di depan hukum tanpa ada diskriminasi atau keistimewaan kasta.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Praduga Tak Bersalah (Presumption of Innocence)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Asas hukum yang menyatakan bahwa setiap orang yang disangka atau didakwa melakukan tindak pidana wajib dianggap tidak bersalah hingga ada putusan pengadilan yang berkekuatan hukum tetap.</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Non-Derogable Rights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Hak asasi manusia yang bersifat mutlak dan tidak dapat dikurangi atau ditunda pemenuhannya dalam kondisi darurat apa pun (seperti hak untuk hidup).</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Diversi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Pengalihan penyelesaian perkara anak yang berhadapan dengan hukum dari proses peradilan pidana formal ke proses di luar peradilan pidana (restorative justice).</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