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Harmoni dalam Keberagaman dan Integrasi Nasional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arti penting semboyan Bhinneka Tunggal Ika dalam menjaga integrasi nasional.</w:t>
      </w:r>
    </w:p>
    <w:p>
      <w:pPr>
        <w:pStyle w:val="ListNumber"/>
      </w:pPr>
      <w:r>
        <w:rPr>
          <w:rFonts w:ascii="Calibri" w:hAnsi="Calibri"/>
          <w:b w:val="0"/>
          <w:i w:val="0"/>
          <w:color w:val="000000"/>
          <w:sz w:val="19"/>
        </w:rPr>
        <w:t>Peserta didik mampu mendeteksi potensi konflik primordial dan merumuskan solusi preventif.</w:t>
      </w:r>
    </w:p>
    <w:p>
      <w:pPr>
        <w:pStyle w:val="ListNumber"/>
      </w:pPr>
      <w:r>
        <w:rPr>
          <w:rFonts w:ascii="Calibri" w:hAnsi="Calibri"/>
          <w:b w:val="0"/>
          <w:i w:val="0"/>
          <w:color w:val="000000"/>
          <w:sz w:val="19"/>
        </w:rPr>
        <w:t>Peserta didik mampu mempraktikkan sikap inklusif dan kolaboratif di tengah kemajemukan lingkungan sekitar.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Makna filosofis Bhinneka Tunggal Ika, pencegahan penyakit sosial primordialisme, etnosentrisme, dan stereotip SARA, resolusi konflik sosial berbasis kearifan lokal, serta penguatan kohesi sosial kebangsaan.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Makna Sosiologis dan Filosofis Bhinneka Tunggal Ika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nilai toleransi, kesetaraan hak sipil, dan multikulturalisme dalam masyarakat majemuk.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Ancaman Disintegrasi: Etnosentrisme, Primordialisme, dan Prasangka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akar penyebab konflik horizontal bernuansa identitas primordial di ruang publik.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Resolusi Konflik Sosial dan Kearifan Lokal Perdamaian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Mengeksplorasi pranata adat dan mekanisme dialog restoratif dalam meredam ketegangan komunal.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Membangun Kohesi Sosial dan Ruang Dialog Antarbudaya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Merancang festival budaya sekolah dan aksi kolaboratif kepemudaan lintas etnis.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Sikap seseorang yang selalu menganggap tradisi suku bangsanya paling unggul dan memandang rendah adat istiadat suku lain dinamakan...</w:t>
      </w:r>
    </w:p>
    <w:p>
      <w:pPr>
        <w:spacing w:before="0" w:after="20"/>
        <w:ind w:left="576"/>
      </w:pPr>
      <w:r>
        <w:rPr>
          <w:rFonts w:ascii="Calibri" w:hAnsi="Calibri"/>
          <w:b w:val="0"/>
          <w:i w:val="0"/>
          <w:color w:val="000000"/>
          <w:sz w:val="18"/>
        </w:rPr>
        <w:t>Etnosentrisme</w:t>
      </w:r>
    </w:p>
    <w:p>
      <w:pPr>
        <w:spacing w:before="0" w:after="20"/>
        <w:ind w:left="576"/>
      </w:pPr>
      <w:r>
        <w:rPr>
          <w:rFonts w:ascii="Calibri" w:hAnsi="Calibri"/>
          <w:b w:val="0"/>
          <w:i w:val="0"/>
          <w:color w:val="000000"/>
          <w:sz w:val="18"/>
        </w:rPr>
        <w:t>Nasionalisme</w:t>
      </w:r>
    </w:p>
    <w:p>
      <w:pPr>
        <w:spacing w:before="0" w:after="20"/>
        <w:ind w:left="576"/>
      </w:pPr>
      <w:r>
        <w:rPr>
          <w:rFonts w:ascii="Calibri" w:hAnsi="Calibri"/>
          <w:b w:val="0"/>
          <w:i w:val="0"/>
          <w:color w:val="000000"/>
          <w:sz w:val="18"/>
        </w:rPr>
        <w:t>Patriotisme</w:t>
      </w:r>
    </w:p>
    <w:p>
      <w:pPr>
        <w:spacing w:before="0" w:after="20"/>
        <w:ind w:left="576"/>
      </w:pPr>
      <w:r>
        <w:rPr>
          <w:rFonts w:ascii="Calibri" w:hAnsi="Calibri"/>
          <w:b w:val="0"/>
          <w:i w:val="0"/>
          <w:color w:val="000000"/>
          <w:sz w:val="18"/>
        </w:rPr>
        <w:t>Multikulturalisme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Etnosentrisme adalah pandangan yang menempatkan budayanya sendiri sebagai tolok ukur superioritas di atas budaya lain.</w:t>
      </w:r>
    </w:p>
    <w:p>
      <w:pPr>
        <w:spacing w:before="80" w:after="40"/>
        <w:ind w:left="216"/>
      </w:pPr>
      <w:r>
        <w:rPr>
          <w:rFonts w:ascii="Calibri" w:hAnsi="Calibri"/>
          <w:b/>
          <w:color w:val="000000"/>
          <w:sz w:val="19"/>
        </w:rPr>
        <w:t xml:space="preserve">2. </w:t>
      </w:r>
      <w:r>
        <w:rPr>
          <w:rFonts w:ascii="Calibri" w:hAnsi="Calibri"/>
          <w:b w:val="0"/>
          <w:i w:val="0"/>
          <w:color w:val="000000"/>
          <w:sz w:val="19"/>
        </w:rPr>
        <w:t>Tradisi persaudaraan antarnegeri atau antardesa di Maluku yang mengikat warga beda agama dalam ikatan kekerabatan perdamaian disebut...</w:t>
      </w:r>
    </w:p>
    <w:p>
      <w:pPr>
        <w:spacing w:before="0" w:after="20"/>
        <w:ind w:left="576"/>
      </w:pPr>
      <w:r>
        <w:rPr>
          <w:rFonts w:ascii="Calibri" w:hAnsi="Calibri"/>
          <w:b w:val="0"/>
          <w:i w:val="0"/>
          <w:color w:val="000000"/>
          <w:sz w:val="18"/>
        </w:rPr>
        <w:t>Pela Gandong</w:t>
      </w:r>
    </w:p>
    <w:p>
      <w:pPr>
        <w:spacing w:before="0" w:after="20"/>
        <w:ind w:left="576"/>
      </w:pPr>
      <w:r>
        <w:rPr>
          <w:rFonts w:ascii="Calibri" w:hAnsi="Calibri"/>
          <w:b w:val="0"/>
          <w:i w:val="0"/>
          <w:color w:val="000000"/>
          <w:sz w:val="18"/>
        </w:rPr>
        <w:t>Dalihan Na Tolu</w:t>
      </w:r>
    </w:p>
    <w:p>
      <w:pPr>
        <w:spacing w:before="0" w:after="20"/>
        <w:ind w:left="576"/>
      </w:pPr>
      <w:r>
        <w:rPr>
          <w:rFonts w:ascii="Calibri" w:hAnsi="Calibri"/>
          <w:b w:val="0"/>
          <w:i w:val="0"/>
          <w:color w:val="000000"/>
          <w:sz w:val="18"/>
        </w:rPr>
        <w:t>Subak Bali</w:t>
      </w:r>
    </w:p>
    <w:p>
      <w:pPr>
        <w:spacing w:before="0" w:after="20"/>
        <w:ind w:left="576"/>
      </w:pPr>
      <w:r>
        <w:rPr>
          <w:rFonts w:ascii="Calibri" w:hAnsi="Calibri"/>
          <w:b w:val="0"/>
          <w:i w:val="0"/>
          <w:color w:val="000000"/>
          <w:sz w:val="18"/>
        </w:rPr>
        <w:t>Ngaben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Pela Gandong adalah kearifan lokal persaudaraan sejati di Maluku yang melintasi sekat perbedaan agama Islam dan Kristen.</w:t>
      </w:r>
    </w:p>
    <w:p>
      <w:pPr>
        <w:spacing w:before="80" w:after="40"/>
        <w:ind w:left="216"/>
      </w:pPr>
      <w:r>
        <w:rPr>
          <w:rFonts w:ascii="Calibri" w:hAnsi="Calibri"/>
          <w:b/>
          <w:color w:val="000000"/>
          <w:sz w:val="19"/>
        </w:rPr>
        <w:t xml:space="preserve">3. </w:t>
      </w:r>
      <w:r>
        <w:rPr>
          <w:rFonts w:ascii="Calibri" w:hAnsi="Calibri"/>
          <w:b w:val="0"/>
          <w:i w:val="0"/>
          <w:color w:val="000000"/>
          <w:sz w:val="19"/>
        </w:rPr>
        <w:t>Faktor utama yang paling berpotensi mempercepat proses integrasi nasional di tengah masyarakat Indonesia yang majemuk adalah...</w:t>
      </w:r>
    </w:p>
    <w:p>
      <w:pPr>
        <w:spacing w:before="0" w:after="20"/>
        <w:ind w:left="576"/>
      </w:pPr>
      <w:r>
        <w:rPr>
          <w:rFonts w:ascii="Calibri" w:hAnsi="Calibri"/>
          <w:b w:val="0"/>
          <w:i w:val="0"/>
          <w:color w:val="000000"/>
          <w:sz w:val="18"/>
        </w:rPr>
        <w:t>Penggunaan Bahasa Indonesia sebagai bahasa persatuan dan penghayatan nilai dasar Pancasila</w:t>
      </w:r>
    </w:p>
    <w:p>
      <w:pPr>
        <w:spacing w:before="0" w:after="20"/>
        <w:ind w:left="576"/>
      </w:pPr>
      <w:r>
        <w:rPr>
          <w:rFonts w:ascii="Calibri" w:hAnsi="Calibri"/>
          <w:b w:val="0"/>
          <w:i w:val="0"/>
          <w:color w:val="000000"/>
          <w:sz w:val="18"/>
        </w:rPr>
        <w:t>Pemberian hak istimewa secara hukum kepada suku mayoritas</w:t>
      </w:r>
    </w:p>
    <w:p>
      <w:pPr>
        <w:spacing w:before="0" w:after="20"/>
        <w:ind w:left="576"/>
      </w:pPr>
      <w:r>
        <w:rPr>
          <w:rFonts w:ascii="Calibri" w:hAnsi="Calibri"/>
          <w:b w:val="0"/>
          <w:i w:val="0"/>
          <w:color w:val="000000"/>
          <w:sz w:val="18"/>
        </w:rPr>
        <w:t>Pemisahan wilayah permukiman berdasarkan golongan etnis</w:t>
      </w:r>
    </w:p>
    <w:p>
      <w:pPr>
        <w:spacing w:before="0" w:after="20"/>
        <w:ind w:left="576"/>
      </w:pPr>
      <w:r>
        <w:rPr>
          <w:rFonts w:ascii="Calibri" w:hAnsi="Calibri"/>
          <w:b w:val="0"/>
          <w:i w:val="0"/>
          <w:color w:val="000000"/>
          <w:sz w:val="18"/>
        </w:rPr>
        <w:t>Pelarangan seluruh kesenian daerah tradisional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Bahasa Indonesia sebagai lingua franca dan Pancasila sebagai payung nilai bersama merupakan perekat integrasi nasional paling kokoh.</w:t>
      </w:r>
    </w:p>
    <w:p>
      <w:pPr>
        <w:spacing w:before="80" w:after="40"/>
        <w:ind w:left="216"/>
      </w:pPr>
      <w:r>
        <w:rPr>
          <w:rFonts w:ascii="Calibri" w:hAnsi="Calibri"/>
          <w:b/>
          <w:color w:val="000000"/>
          <w:sz w:val="19"/>
        </w:rPr>
        <w:t xml:space="preserve">4. </w:t>
      </w:r>
      <w:r>
        <w:rPr>
          <w:rFonts w:ascii="Calibri" w:hAnsi="Calibri"/>
          <w:b w:val="0"/>
          <w:i w:val="0"/>
          <w:color w:val="000000"/>
          <w:sz w:val="19"/>
        </w:rPr>
        <w:t>Tindakan memperlakukan seseorang secara tidak adil hanya karena identitas latar belakang ras atau agamanya dinamakan...</w:t>
      </w:r>
    </w:p>
    <w:p>
      <w:pPr>
        <w:spacing w:before="0" w:after="20"/>
        <w:ind w:left="576"/>
      </w:pPr>
      <w:r>
        <w:rPr>
          <w:rFonts w:ascii="Calibri" w:hAnsi="Calibri"/>
          <w:b w:val="0"/>
          <w:i w:val="0"/>
          <w:color w:val="000000"/>
          <w:sz w:val="18"/>
        </w:rPr>
        <w:t>Diskriminasi</w:t>
      </w:r>
    </w:p>
    <w:p>
      <w:pPr>
        <w:spacing w:before="0" w:after="20"/>
        <w:ind w:left="576"/>
      </w:pPr>
      <w:r>
        <w:rPr>
          <w:rFonts w:ascii="Calibri" w:hAnsi="Calibri"/>
          <w:b w:val="0"/>
          <w:i w:val="0"/>
          <w:color w:val="000000"/>
          <w:sz w:val="18"/>
        </w:rPr>
        <w:t>Asimilasi</w:t>
      </w:r>
    </w:p>
    <w:p>
      <w:pPr>
        <w:spacing w:before="0" w:after="20"/>
        <w:ind w:left="576"/>
      </w:pPr>
      <w:r>
        <w:rPr>
          <w:rFonts w:ascii="Calibri" w:hAnsi="Calibri"/>
          <w:b w:val="0"/>
          <w:i w:val="0"/>
          <w:color w:val="000000"/>
          <w:sz w:val="18"/>
        </w:rPr>
        <w:t>Akulturasi</w:t>
      </w:r>
    </w:p>
    <w:p>
      <w:pPr>
        <w:spacing w:before="0" w:after="20"/>
        <w:ind w:left="576"/>
      </w:pPr>
      <w:r>
        <w:rPr>
          <w:rFonts w:ascii="Calibri" w:hAnsi="Calibri"/>
          <w:b w:val="0"/>
          <w:i w:val="0"/>
          <w:color w:val="000000"/>
          <w:sz w:val="18"/>
        </w:rPr>
        <w:t>Akomodasi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Diskriminasi adalah pembatasan atau perlakuan beda yang merugikan hak seseorang berbasis identitas kelompok.</w:t>
      </w:r>
    </w:p>
    <w:p>
      <w:pPr>
        <w:spacing w:before="80" w:after="40"/>
        <w:ind w:left="216"/>
      </w:pPr>
      <w:r>
        <w:rPr>
          <w:rFonts w:ascii="Calibri" w:hAnsi="Calibri"/>
          <w:b/>
          <w:color w:val="000000"/>
          <w:sz w:val="19"/>
        </w:rPr>
        <w:t xml:space="preserve">5. </w:t>
      </w:r>
      <w:r>
        <w:rPr>
          <w:rFonts w:ascii="Calibri" w:hAnsi="Calibri"/>
          <w:b w:val="0"/>
          <w:i w:val="0"/>
          <w:color w:val="000000"/>
          <w:sz w:val="19"/>
        </w:rPr>
        <w:t>Peran generasi muda dalam memelihara harmoni sosial di ruang digital dapat diwujudkan dengan cara...</w:t>
      </w:r>
    </w:p>
    <w:p>
      <w:pPr>
        <w:spacing w:before="0" w:after="20"/>
        <w:ind w:left="576"/>
      </w:pPr>
      <w:r>
        <w:rPr>
          <w:rFonts w:ascii="Calibri" w:hAnsi="Calibri"/>
          <w:b w:val="0"/>
          <w:i w:val="0"/>
          <w:color w:val="000000"/>
          <w:sz w:val="18"/>
        </w:rPr>
        <w:t>Memproduksi konten narasi toleransi, tidak menyebarkan ujaran kebencian, dan mempromosikan persahabatan nusantara</w:t>
      </w:r>
    </w:p>
    <w:p>
      <w:pPr>
        <w:spacing w:before="0" w:after="20"/>
        <w:ind w:left="576"/>
      </w:pPr>
      <w:r>
        <w:rPr>
          <w:rFonts w:ascii="Calibri" w:hAnsi="Calibri"/>
          <w:b w:val="0"/>
          <w:i w:val="0"/>
          <w:color w:val="000000"/>
          <w:sz w:val="18"/>
        </w:rPr>
        <w:t>Membajak situs lembaga negara demi sensasi ketenaran</w:t>
      </w:r>
    </w:p>
    <w:p>
      <w:pPr>
        <w:spacing w:before="0" w:after="20"/>
        <w:ind w:left="576"/>
      </w:pPr>
      <w:r>
        <w:rPr>
          <w:rFonts w:ascii="Calibri" w:hAnsi="Calibri"/>
          <w:b w:val="0"/>
          <w:i w:val="0"/>
          <w:color w:val="000000"/>
          <w:sz w:val="18"/>
        </w:rPr>
        <w:t>Menyerang warganet yang memiliki keyakinan iman berbeda dengan kata-kata kasar</w:t>
      </w:r>
    </w:p>
    <w:p>
      <w:pPr>
        <w:spacing w:before="0" w:after="20"/>
        <w:ind w:left="576"/>
      </w:pPr>
      <w:r>
        <w:rPr>
          <w:rFonts w:ascii="Calibri" w:hAnsi="Calibri"/>
          <w:b w:val="0"/>
          <w:i w:val="0"/>
          <w:color w:val="000000"/>
          <w:sz w:val="18"/>
        </w:rPr>
        <w:t>Menolak bergaul dengan teman di media sosial yang berasal dari luar pulau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Menjadi duta damai digital menuntut kontribusi konten positif, anti-ujaran kebencian, dan apresiasi kebinekaan.</w:t>
      </w:r>
    </w:p>
    <w:p>
      <w:r>
        <w:br w:type="page"/>
      </w:r>
    </w:p>
    <w:p>
      <w:pPr>
        <w:pStyle w:val="Title"/>
      </w:pPr>
      <w:r>
        <w:t>LEMBAR KERJA PESERTA DIDIK (LKPD)</w:t>
      </w:r>
    </w:p>
    <w:p>
      <w:pPr>
        <w:pStyle w:val="Subtitle"/>
      </w:pPr>
      <w:r>
        <w:t>Mata Pelajaran: Pendidikan Pancasila • Bab 3: Harmoni dalam Keberagaman dan Integrasi Nasional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Makna Sosiologis dan Filosofis Bhinneka Tunggal Ika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nilai toleransi, kesetaraan hak sipil, dan multikulturalisme dalam masyarakat majemuk.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Ancaman Disintegrasi: Etnosentrisme, Primordialisme, dan Prasangka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akar penyebab konflik horizontal bernuansa identitas primordial di ruang publik.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Resolusi Konflik Sosial dan Kearifan Lokal Perdamaian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Mengeksplorasi pranata adat dan mekanisme dialog restoratif dalam meredam ketegangan komunal.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Membangun Kohesi Sosial dan Ruang Dialog Antarbudaya</w:t>
      </w:r>
    </w:p>
    <w:p>
      <w:pPr>
        <w:spacing w:before="20" w:after="60"/>
        <w:ind w:left="216"/>
      </w:pPr>
      <w:r>
        <w:rPr>
          <w:rFonts w:ascii="Calibri" w:hAnsi="Calibri"/>
          <w:color w:val="000000"/>
          <w:sz w:val="18"/>
        </w:rPr>
        <w:t xml:space="preserve">Petunjuk: </w:t>
      </w:r>
      <w:r>
        <w:rPr>
          <w:rFonts w:ascii="Calibri" w:hAnsi="Calibri"/>
          <w:b w:val="0"/>
          <w:i w:val="0"/>
          <w:color w:val="000000"/>
          <w:sz w:val="18"/>
        </w:rPr>
        <w:t>Merancang festival budaya sekolah dan aksi kolaboratif kepemudaan lintas etnis.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Keberagaman suku bangsa, bahasa daerah, agama, ras, dan antargolongan merupakan kekayaan sosiokultural tak ternilai bagi bangsa Indonesia. Semboyan Bhinneka Tunggal Ika mengajarkan bahwa perbedaan kodrati bukanlah sumber perpecahan, melainkan kekuatan sinergis yang memperkokoh persatuan nasional.</w:t>
      </w:r>
    </w:p>
    <w:p>
      <w:pPr>
        <w:spacing w:before="40" w:after="60" w:line="276" w:lineRule="auto"/>
      </w:pPr>
      <w:r>
        <w:rPr>
          <w:rFonts w:ascii="Calibri" w:hAnsi="Calibri"/>
          <w:b w:val="0"/>
          <w:i w:val="0"/>
          <w:color w:val="000000"/>
          <w:sz w:val="19"/>
        </w:rPr>
        <w:t>Potensi keretakan sosial kerap dipicu oleh sikap primordialisme berlebihan, etnosentrisme sempit, prasangka (*stereotipe*), dan diskriminasi mayoritas terhadap minoritas. Membiarkan gesekan SARA berkembang tanpa mitigasi berisiko merusak integrasi bangsa yang dibangun para pendiri bangsa.</w:t>
      </w:r>
    </w:p>
    <w:p>
      <w:pPr>
        <w:spacing w:before="40" w:after="60" w:line="276" w:lineRule="auto"/>
      </w:pPr>
      <w:r>
        <w:rPr>
          <w:rFonts w:ascii="Calibri" w:hAnsi="Calibri"/>
          <w:b w:val="0"/>
          <w:i w:val="0"/>
          <w:color w:val="000000"/>
          <w:sz w:val="19"/>
        </w:rPr>
        <w:t>Mekanisme pencegahan dan resolusi konflik sosial memanfaatkan hukum positif serta kearifan lokal (*seperti Pela Gandong di Maluku, Dalihan Na Tolu di Batak, atau Rumah Betang di Dayak*). Pendidikan multikultural menumbuhkan empati kultural dan persaudaraan lintas batas.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Bhinneka Tunggal Ika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Semboyan resmi negara dari Kitab Sutasoma yang bermakna 'berbeda-beda tetapi pada hakikatnya tetap satu kesatuan'.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Etnosentrisme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Kecenderungan memandang budaya sendiri sebagai pusat dan standar terbaik, sembari meremehkan kebudayaan kelompok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Primordialisme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Ikatan loyalitas berlebihan terhadap tradisi, adat istiadat, suku bangsa, atau daerah asal kelahiran.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Kohesi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Tingkat keterikatan emosional, solidaritas, saling percaya, dan kebersamaan antarwarga dalam suatu komunitas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Resolusi Konflik Restoratif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penyelesaian perselisihan yang berfokus pada pemulihan hubungan baik antarkelompok melalui mediasi damai.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