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Menjiwai Pancasila: Keterkaitan Antarsila dan Nilai Fundamental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hierarkis-piramidal dan keterkaitan makna antar-sila Pancasila.</w:t>
      </w:r>
    </w:p>
    <w:p>
      <w:pPr>
        <w:pStyle w:val="ListNumber"/>
      </w:pPr>
      <w:r>
        <w:rPr>
          <w:rFonts w:ascii="Calibri" w:hAnsi="Calibri"/>
          <w:b w:val="0"/>
          <w:i w:val="0"/>
          <w:color w:val="000000"/>
          <w:sz w:val="19"/>
        </w:rPr>
        <w:t>Peserta didik mampu menelaah kedudukan Pancasila sebagai sistem filsafat dan pedoman etika bernegara.</w:t>
      </w:r>
    </w:p>
    <w:p>
      <w:pPr>
        <w:pStyle w:val="ListNumber"/>
      </w:pPr>
      <w:r>
        <w:rPr>
          <w:rFonts w:ascii="Calibri" w:hAnsi="Calibri"/>
          <w:b w:val="0"/>
          <w:i w:val="0"/>
          <w:color w:val="000000"/>
          <w:sz w:val="19"/>
        </w:rPr>
        <w:t>Peserta didik mampu mempraktikkan pengamalan nilai-nilai Pancasila secara subjektif dalam kehidupan sehari-hari.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Karakteristik hierarkis-piramidal sila-sila Pancasila, keterpaduan dimensi ontologis, epistemologis, dan aksiologis, pembumian nilai Pancasila secara subjektif dan objektif, serta penolakan ideologi ekstrem.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Hierarkis-Piramidal dan Kesatuan Organis Sila Pancasila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relasi saling menjiwai dan melandasi antar kelima sila Pancasila.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Pancasila sebagai Sistem Filsafat dan Etika Bangsa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landasan ontologis, epistemologis, dan aksiologis nilai-nilai luhur bangsa.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Pengamalan Pancasila Subjektif dan Objektif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penerapan nilai moral individu dengan kepatuhan terhadap regulasi perundang-undangan.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Tantangan Ideologis Kontemporer dan Pembumian Pancasila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Menangkal ekstremisme kekerasan, disinformasi pemecah belah, dan pengikisan gotong royong.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Pernyataan bahwa 'Sila Ketuhanan Yang Maha Esa mendasari dan menjiwai Kemanusiaan yang Adil dan Beradab, Persatuan Indonesia, Kerakyatan, dan Keadilan Sosial' mencerminkan karakteristik Pancasila sebagai...</w:t>
      </w:r>
    </w:p>
    <w:p>
      <w:pPr>
        <w:spacing w:before="0" w:after="20"/>
        <w:ind w:left="576"/>
      </w:pPr>
      <w:r>
        <w:rPr>
          <w:rFonts w:ascii="Calibri" w:hAnsi="Calibri"/>
          <w:b w:val="0"/>
          <w:i w:val="0"/>
          <w:color w:val="000000"/>
          <w:sz w:val="18"/>
        </w:rPr>
        <w:t>Kesatuan organis hierarkis-piramidal</w:t>
      </w:r>
    </w:p>
    <w:p>
      <w:pPr>
        <w:spacing w:before="0" w:after="20"/>
        <w:ind w:left="576"/>
      </w:pPr>
      <w:r>
        <w:rPr>
          <w:rFonts w:ascii="Calibri" w:hAnsi="Calibri"/>
          <w:b w:val="0"/>
          <w:i w:val="0"/>
          <w:color w:val="000000"/>
          <w:sz w:val="18"/>
        </w:rPr>
        <w:t>Kumpulan norma yang terpisah-pisah</w:t>
      </w:r>
    </w:p>
    <w:p>
      <w:pPr>
        <w:spacing w:before="0" w:after="20"/>
        <w:ind w:left="576"/>
      </w:pPr>
      <w:r>
        <w:rPr>
          <w:rFonts w:ascii="Calibri" w:hAnsi="Calibri"/>
          <w:b w:val="0"/>
          <w:i w:val="0"/>
          <w:color w:val="000000"/>
          <w:sz w:val="18"/>
        </w:rPr>
        <w:t>Ideologi pragmatis temporer</w:t>
      </w:r>
    </w:p>
    <w:p>
      <w:pPr>
        <w:spacing w:before="0" w:after="20"/>
        <w:ind w:left="576"/>
      </w:pPr>
      <w:r>
        <w:rPr>
          <w:rFonts w:ascii="Calibri" w:hAnsi="Calibri"/>
          <w:b w:val="0"/>
          <w:i w:val="0"/>
          <w:color w:val="000000"/>
          <w:sz w:val="18"/>
        </w:rPr>
        <w:t>Doktrin politik mutlak satu golongan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Hierarkis-piramidal bermakna setiap sila memiliki urutan logis yang saling mengikat, melandasi, dan dijiwai oleh sila pertama.</w:t>
      </w:r>
    </w:p>
    <w:p>
      <w:pPr>
        <w:spacing w:before="80" w:after="40"/>
        <w:ind w:left="216"/>
      </w:pPr>
      <w:r>
        <w:rPr>
          <w:rFonts w:ascii="Calibri" w:hAnsi="Calibri"/>
          <w:b/>
          <w:color w:val="000000"/>
          <w:sz w:val="19"/>
        </w:rPr>
        <w:t xml:space="preserve">2. </w:t>
      </w:r>
      <w:r>
        <w:rPr>
          <w:rFonts w:ascii="Calibri" w:hAnsi="Calibri"/>
          <w:b w:val="0"/>
          <w:i w:val="0"/>
          <w:color w:val="000000"/>
          <w:sz w:val="19"/>
        </w:rPr>
        <w:t>Penerapan Pancasila dalam pembentukan peraturan perundang-undangan dan tata kelola administrasi pemerintahan termasuk ke dalam bentuk pengamalan...</w:t>
      </w:r>
    </w:p>
    <w:p>
      <w:pPr>
        <w:spacing w:before="0" w:after="20"/>
        <w:ind w:left="576"/>
      </w:pPr>
      <w:r>
        <w:rPr>
          <w:rFonts w:ascii="Calibri" w:hAnsi="Calibri"/>
          <w:b w:val="0"/>
          <w:i w:val="0"/>
          <w:color w:val="000000"/>
          <w:sz w:val="18"/>
        </w:rPr>
        <w:t>Objektif</w:t>
      </w:r>
    </w:p>
    <w:p>
      <w:pPr>
        <w:spacing w:before="0" w:after="20"/>
        <w:ind w:left="576"/>
      </w:pPr>
      <w:r>
        <w:rPr>
          <w:rFonts w:ascii="Calibri" w:hAnsi="Calibri"/>
          <w:b w:val="0"/>
          <w:i w:val="0"/>
          <w:color w:val="000000"/>
          <w:sz w:val="18"/>
        </w:rPr>
        <w:t>Subjektif</w:t>
      </w:r>
    </w:p>
    <w:p>
      <w:pPr>
        <w:spacing w:before="0" w:after="20"/>
        <w:ind w:left="576"/>
      </w:pPr>
      <w:r>
        <w:rPr>
          <w:rFonts w:ascii="Calibri" w:hAnsi="Calibri"/>
          <w:b w:val="0"/>
          <w:i w:val="0"/>
          <w:color w:val="000000"/>
          <w:sz w:val="18"/>
        </w:rPr>
        <w:t>Individual</w:t>
      </w:r>
    </w:p>
    <w:p>
      <w:pPr>
        <w:spacing w:before="0" w:after="20"/>
        <w:ind w:left="576"/>
      </w:pPr>
      <w:r>
        <w:rPr>
          <w:rFonts w:ascii="Calibri" w:hAnsi="Calibri"/>
          <w:b w:val="0"/>
          <w:i w:val="0"/>
          <w:color w:val="000000"/>
          <w:sz w:val="18"/>
        </w:rPr>
        <w:t>Tradisional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Pengamalan objektif merujuk pada integrasi nilai Pancasila ke dalam tata hukum, kebijakan perundang-undangan, dan fungsi kenegaraan.</w:t>
      </w:r>
    </w:p>
    <w:p>
      <w:pPr>
        <w:spacing w:before="80" w:after="40"/>
        <w:ind w:left="216"/>
      </w:pPr>
      <w:r>
        <w:rPr>
          <w:rFonts w:ascii="Calibri" w:hAnsi="Calibri"/>
          <w:b/>
          <w:color w:val="000000"/>
          <w:sz w:val="19"/>
        </w:rPr>
        <w:t xml:space="preserve">3. </w:t>
      </w:r>
      <w:r>
        <w:rPr>
          <w:rFonts w:ascii="Calibri" w:hAnsi="Calibri"/>
          <w:b w:val="0"/>
          <w:i w:val="0"/>
          <w:color w:val="000000"/>
          <w:sz w:val="19"/>
        </w:rPr>
        <w:t>Konsep Notonagoro yang menyatakan bahwa manusia Indonesia adalah makhluk 'monopluralis' berarti...</w:t>
      </w:r>
    </w:p>
    <w:p>
      <w:pPr>
        <w:spacing w:before="0" w:after="20"/>
        <w:ind w:left="576"/>
      </w:pPr>
      <w:r>
        <w:rPr>
          <w:rFonts w:ascii="Calibri" w:hAnsi="Calibri"/>
          <w:b w:val="0"/>
          <w:i w:val="0"/>
          <w:color w:val="000000"/>
          <w:sz w:val="18"/>
        </w:rPr>
        <w:t>Manusia merupakan kesatuan kodrat raga-jiwa, individu-sosial, dan makhluk ciptaan Tuhan yang harmonis</w:t>
      </w:r>
    </w:p>
    <w:p>
      <w:pPr>
        <w:spacing w:before="0" w:after="20"/>
        <w:ind w:left="576"/>
      </w:pPr>
      <w:r>
        <w:rPr>
          <w:rFonts w:ascii="Calibri" w:hAnsi="Calibri"/>
          <w:b w:val="0"/>
          <w:i w:val="0"/>
          <w:color w:val="000000"/>
          <w:sz w:val="18"/>
        </w:rPr>
        <w:t>Manusia harus mementingkan keuntungan materi pribadi di atas segalanya</w:t>
      </w:r>
    </w:p>
    <w:p>
      <w:pPr>
        <w:spacing w:before="0" w:after="20"/>
        <w:ind w:left="576"/>
      </w:pPr>
      <w:r>
        <w:rPr>
          <w:rFonts w:ascii="Calibri" w:hAnsi="Calibri"/>
          <w:b w:val="0"/>
          <w:i w:val="0"/>
          <w:color w:val="000000"/>
          <w:sz w:val="18"/>
        </w:rPr>
        <w:t>Manusia hanya tunduk pada kekuasaan otoriter tanpa hak asasi</w:t>
      </w:r>
    </w:p>
    <w:p>
      <w:pPr>
        <w:spacing w:before="0" w:after="20"/>
        <w:ind w:left="576"/>
      </w:pPr>
      <w:r>
        <w:rPr>
          <w:rFonts w:ascii="Calibri" w:hAnsi="Calibri"/>
          <w:b w:val="0"/>
          <w:i w:val="0"/>
          <w:color w:val="000000"/>
          <w:sz w:val="18"/>
        </w:rPr>
        <w:t>Manusia tidak memerlukan interaksi sosial dalam kehidupan berbangsa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Monopluralis memandang hakikat manusia secara holistik: berjiwa-beraga, mandiri-bersosial, dan berketuhanan.</w:t>
      </w:r>
    </w:p>
    <w:p>
      <w:pPr>
        <w:spacing w:before="80" w:after="40"/>
        <w:ind w:left="216"/>
      </w:pPr>
      <w:r>
        <w:rPr>
          <w:rFonts w:ascii="Calibri" w:hAnsi="Calibri"/>
          <w:b/>
          <w:color w:val="000000"/>
          <w:sz w:val="19"/>
        </w:rPr>
        <w:t xml:space="preserve">4. </w:t>
      </w:r>
      <w:r>
        <w:rPr>
          <w:rFonts w:ascii="Calibri" w:hAnsi="Calibri"/>
          <w:b w:val="0"/>
          <w:i w:val="0"/>
          <w:color w:val="000000"/>
          <w:sz w:val="19"/>
        </w:rPr>
        <w:t>Perwujudan nyata sila Keadilan Sosial bagi Seluruh Rakyat Indonesia dalam kehidupan ekonomi sehari-hari adalah...</w:t>
      </w:r>
    </w:p>
    <w:p>
      <w:pPr>
        <w:spacing w:before="0" w:after="20"/>
        <w:ind w:left="576"/>
      </w:pPr>
      <w:r>
        <w:rPr>
          <w:rFonts w:ascii="Calibri" w:hAnsi="Calibri"/>
          <w:b w:val="0"/>
          <w:i w:val="0"/>
          <w:color w:val="000000"/>
          <w:sz w:val="18"/>
        </w:rPr>
        <w:t>Mendukung koperasi dan pemerataan kesempatan usaha bagi pelaku UMKM tanpa monopoli</w:t>
      </w:r>
    </w:p>
    <w:p>
      <w:pPr>
        <w:spacing w:before="0" w:after="20"/>
        <w:ind w:left="576"/>
      </w:pPr>
      <w:r>
        <w:rPr>
          <w:rFonts w:ascii="Calibri" w:hAnsi="Calibri"/>
          <w:b w:val="0"/>
          <w:i w:val="0"/>
          <w:color w:val="000000"/>
          <w:sz w:val="18"/>
        </w:rPr>
        <w:t>Membiarkan konglomerat menguasai seluruh komoditas pangan pokok secara sepihak</w:t>
      </w:r>
    </w:p>
    <w:p>
      <w:pPr>
        <w:spacing w:before="0" w:after="20"/>
        <w:ind w:left="576"/>
      </w:pPr>
      <w:r>
        <w:rPr>
          <w:rFonts w:ascii="Calibri" w:hAnsi="Calibri"/>
          <w:b w:val="0"/>
          <w:i w:val="0"/>
          <w:color w:val="000000"/>
          <w:sz w:val="18"/>
        </w:rPr>
        <w:t>Menolak membayar pajak retribusi daerah yang sah</w:t>
      </w:r>
    </w:p>
    <w:p>
      <w:pPr>
        <w:spacing w:before="0" w:after="20"/>
        <w:ind w:left="576"/>
      </w:pPr>
      <w:r>
        <w:rPr>
          <w:rFonts w:ascii="Calibri" w:hAnsi="Calibri"/>
          <w:b w:val="0"/>
          <w:i w:val="0"/>
          <w:color w:val="000000"/>
          <w:sz w:val="18"/>
        </w:rPr>
        <w:t>Mengimpor semua kebutuhan tanpa memperdayakan petani lokal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Keadilan sosial di bidang ekonomi terwujud melalui ekonomi kerakyatan, koperasi, dan proteksi persaingan usaha yang sehat.</w:t>
      </w:r>
    </w:p>
    <w:p>
      <w:pPr>
        <w:spacing w:before="80" w:after="40"/>
        <w:ind w:left="216"/>
      </w:pPr>
      <w:r>
        <w:rPr>
          <w:rFonts w:ascii="Calibri" w:hAnsi="Calibri"/>
          <w:b/>
          <w:color w:val="000000"/>
          <w:sz w:val="19"/>
        </w:rPr>
        <w:t xml:space="preserve">5. </w:t>
      </w:r>
      <w:r>
        <w:rPr>
          <w:rFonts w:ascii="Calibri" w:hAnsi="Calibri"/>
          <w:b w:val="0"/>
          <w:i w:val="0"/>
          <w:color w:val="000000"/>
          <w:sz w:val="19"/>
        </w:rPr>
        <w:t>Sikap yang paling tepat dalam menghadapi penyebaran paham ekstremis yang memaksakan kehendak dan anti-kemajemukan di media sosial adalah...</w:t>
      </w:r>
    </w:p>
    <w:p>
      <w:pPr>
        <w:spacing w:before="0" w:after="20"/>
        <w:ind w:left="576"/>
      </w:pPr>
      <w:r>
        <w:rPr>
          <w:rFonts w:ascii="Calibri" w:hAnsi="Calibri"/>
          <w:b w:val="0"/>
          <w:i w:val="0"/>
          <w:color w:val="000000"/>
          <w:sz w:val="18"/>
        </w:rPr>
        <w:t>Memperkuat literasi moderasi beragama, memverifikasi fakta, dan mengampanyekan narasi persatuan</w:t>
      </w:r>
    </w:p>
    <w:p>
      <w:pPr>
        <w:spacing w:before="0" w:after="20"/>
        <w:ind w:left="576"/>
      </w:pPr>
      <w:r>
        <w:rPr>
          <w:rFonts w:ascii="Calibri" w:hAnsi="Calibri"/>
          <w:b w:val="0"/>
          <w:i w:val="0"/>
          <w:color w:val="000000"/>
          <w:sz w:val="18"/>
        </w:rPr>
        <w:t>Menyebarluaskan kembali pesan provokatif untuk menambah kegaduhan warganet</w:t>
      </w:r>
    </w:p>
    <w:p>
      <w:pPr>
        <w:spacing w:before="0" w:after="20"/>
        <w:ind w:left="576"/>
      </w:pPr>
      <w:r>
        <w:rPr>
          <w:rFonts w:ascii="Calibri" w:hAnsi="Calibri"/>
          <w:b w:val="0"/>
          <w:i w:val="0"/>
          <w:color w:val="000000"/>
          <w:sz w:val="18"/>
        </w:rPr>
        <w:t>Mengabaikan semua nilai konstitusi dan hukum nasional</w:t>
      </w:r>
    </w:p>
    <w:p>
      <w:pPr>
        <w:spacing w:before="0" w:after="20"/>
        <w:ind w:left="576"/>
      </w:pPr>
      <w:r>
        <w:rPr>
          <w:rFonts w:ascii="Calibri" w:hAnsi="Calibri"/>
          <w:b w:val="0"/>
          <w:i w:val="0"/>
          <w:color w:val="000000"/>
          <w:sz w:val="18"/>
        </w:rPr>
        <w:t>Memusuhi kelompok yang berbeda ras dan suku bangsa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Menangkal ekstremisme menuntut kecerdasan literasi kritis, komitmen moderasi kebangsaan, dan budaya gotong royong.</w:t>
      </w:r>
    </w:p>
    <w:p>
      <w:r>
        <w:br w:type="page"/>
      </w:r>
    </w:p>
    <w:p>
      <w:pPr>
        <w:pStyle w:val="Title"/>
      </w:pPr>
      <w:r>
        <w:t>LEMBAR KERJA PESERTA DIDIK (LKPD)</w:t>
      </w:r>
    </w:p>
    <w:p>
      <w:pPr>
        <w:pStyle w:val="Subtitle"/>
      </w:pPr>
      <w:r>
        <w:t>Mata Pelajaran: Pendidikan Pancasila • Bab 1: Menjiwai Pancasila: Keterkaitan Antarsila dan Nilai Fundamental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Hierarkis-Piramidal dan Kesatuan Organis Sila Pancasila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relasi saling menjiwai dan melandasi antar kelima sila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Pancasila sebagai Sistem Filsafat dan Etika Bangsa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landasan ontologis, epistemologis, dan aksiologis nilai-nilai luhur 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Pengamalan Pancasila Subjektif dan Objektif</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penerapan nilai moral individu dengan kepatuhan terhadap regulasi perundang-undangan.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Tantangan Ideologis Kontemporer dan Pembumian Pancasila</w:t>
      </w:r>
    </w:p>
    <w:p>
      <w:pPr>
        <w:spacing w:before="20" w:after="60"/>
        <w:ind w:left="216"/>
      </w:pPr>
      <w:r>
        <w:rPr>
          <w:rFonts w:ascii="Calibri" w:hAnsi="Calibri"/>
          <w:color w:val="000000"/>
          <w:sz w:val="18"/>
        </w:rPr>
        <w:t xml:space="preserve">Petunjuk: </w:t>
      </w:r>
      <w:r>
        <w:rPr>
          <w:rFonts w:ascii="Calibri" w:hAnsi="Calibri"/>
          <w:b w:val="0"/>
          <w:i w:val="0"/>
          <w:color w:val="000000"/>
          <w:sz w:val="18"/>
        </w:rPr>
        <w:t>Menangkal ekstremisme kekerasan, disinformasi pemecah belah, dan pengikisan gotong royong.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Pancasila sebagai dasar negara, ideologi nasional, dan pandangan hidup bangsa Indonesia merupakan kesatuan organis yang utuh, bulat, dan hierarkis-piramidal. Sila Ketuhanan Yang Maha Esa menjiwai dan mendasari keempat sila lainnya, sementara sila Keadilan Sosial bagi Seluruh Rakyat Indonesia menjadi tujuan akhir dari penjelmaan sila-sila terdahulu.</w:t>
      </w:r>
    </w:p>
    <w:p>
      <w:pPr>
        <w:spacing w:before="40" w:after="60" w:line="276" w:lineRule="auto"/>
      </w:pPr>
      <w:r>
        <w:rPr>
          <w:rFonts w:ascii="Calibri" w:hAnsi="Calibri"/>
          <w:b w:val="0"/>
          <w:i w:val="0"/>
          <w:color w:val="000000"/>
          <w:sz w:val="19"/>
        </w:rPr>
        <w:t>Dimensi ontologis Pancasila bertumpu pada hakikat manusia sebagai makhluk monopluralis (individu sekaligus sosial, berjiwa dan beraga, makhluk ciptaan Tuhan). Dimensi epistemologis menempatkan musyawarah mufakat dan kearifan nusantara sebagai sumber kebenaran sosial, sedangkan dimensi aksiologis memancarkan etika kepedulian publik.</w:t>
      </w:r>
    </w:p>
    <w:p>
      <w:pPr>
        <w:spacing w:before="40" w:after="60" w:line="276" w:lineRule="auto"/>
      </w:pPr>
      <w:r>
        <w:rPr>
          <w:rFonts w:ascii="Calibri" w:hAnsi="Calibri"/>
          <w:b w:val="0"/>
          <w:i w:val="0"/>
          <w:color w:val="000000"/>
          <w:sz w:val="19"/>
        </w:rPr>
        <w:t>Pengamalan Pancasila terbagi atas pengamalan subjektif (internalisasi nilai moral dalam sanubari warga negara) dan pengamalan objektif (penyelenggaraan tertib hukum dan kebijakan publik negara). Pemahaman filosofis ini membentengi generasi penerus dari ancaman radikalisme, individualisme ekstrem, dan polarisasi sosial.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Hierarkis-Piramidal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susunan sila Pancasila di mana sila yang berada di atas mendasari, menjiwai, dan melingkupi sila-sila di bawahnya secara berurutan.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Makhluk Monopluralis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Hakikat manusia menurut Notonagoro yang memiliki susunan kodrat raga-jiwa, sifat kodrat individu-sosial, dan kedudukan kodrat otonom-makhluk Tuhan.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Pengamalan Subjektif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Pelaksanaan nilai-nilai Pancasila yang bersumber dari kesadaran moral, batiniah, dan komitmen pribadi setiap warga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Pengamalan Objektif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Pelaksanaan Pancasila dalam bentuk hukum positif, kebijakan perundang-undangan, dan tata laksana lembaga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 Filsafat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Kesatuan pemikiran yang teratur, rasional, dan mendalam mengenai hakikat realitas, pengetahuan, dan nilai hidup bangsa.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