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Menghindari Perilaku Menyimpang: Khamr, Judi, dan Tawuran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dalil naqli dan dampak destruktif dari khamr, perjudian, dan kekerasan.</w:t>
      </w:r>
    </w:p>
    <w:p>
      <w:pPr>
        <w:pStyle w:val="ListNumber"/>
      </w:pPr>
      <w:r>
        <w:rPr>
          <w:rFonts w:ascii="Calibri" w:hAnsi="Calibri"/>
          <w:b w:val="0"/>
          <w:i w:val="0"/>
          <w:color w:val="000000"/>
          <w:sz w:val="19"/>
        </w:rPr>
        <w:t>Peserta didik mampu membentengi diri dari pengaruh narkoba, judi online, dan provokasi tawuran.</w:t>
      </w:r>
    </w:p>
    <w:p>
      <w:pPr>
        <w:pStyle w:val="ListNumber"/>
      </w:pPr>
      <w:r>
        <w:rPr>
          <w:rFonts w:ascii="Calibri" w:hAnsi="Calibri"/>
          <w:b w:val="0"/>
          <w:i w:val="0"/>
          <w:color w:val="000000"/>
          <w:sz w:val="19"/>
        </w:rPr>
        <w:t>Peserta didik mampu menerapkan mekanisme ishlah dan kontrol diri dalam memecahkan perselisihan teman sebaya.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Kajian QS Al-Ma'idah/5: 90-91 tentang keharaman khamr, perjudian (maysir), dan pertengkaran, bahaya judi online dan narkoba bagi generasi muda, serta resolusi konflik antarpelajar yang damai.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Kandungan QS Al-Ma'idah/5: 90-91 tentang Khamr dan Maysir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tahapan pengharaman khamr dalam Al-Qur'an dan dampak perusak akal pikiran.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Bahaya Laten Narkoba dan Judi Online bagi Masa Depan Remaja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skema jeratan adiksi psikologis dan kerugian finansial akibat judi daring.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Resolusi Konflik Antarpelajar dan Budaya Anti-Kekerasan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Menghentikan tradisi tawuran sekolah melalui dialog ishlah dan penguatan solidaritas kebangsaan.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Manajemen Emosi Islami dan Kontrol Diri (Mujahadah An-Nafs)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cara menahan amarah sesuai sunnah Rasulullah SAW (berwudu, mengubah posisi, diam).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Berdasarkan QS Al-Ma'idah ayat 91, dua dampak sosial utama yang ditimbulkan oleh konsumsi khamr dan perjudian adalah...</w:t>
      </w:r>
    </w:p>
    <w:p>
      <w:pPr>
        <w:spacing w:before="0" w:after="20"/>
        <w:ind w:left="576"/>
      </w:pPr>
      <w:r>
        <w:rPr>
          <w:rFonts w:ascii="Calibri" w:hAnsi="Calibri"/>
          <w:b w:val="0"/>
          <w:i w:val="0"/>
          <w:color w:val="000000"/>
          <w:sz w:val="18"/>
        </w:rPr>
        <w:t>Timbulnya rasa permusuhan dan saling membenci antarsesama serta menghalangi dari mengingat Allah dan shalat</w:t>
      </w:r>
    </w:p>
    <w:p>
      <w:pPr>
        <w:spacing w:before="0" w:after="20"/>
        <w:ind w:left="576"/>
      </w:pPr>
      <w:r>
        <w:rPr>
          <w:rFonts w:ascii="Calibri" w:hAnsi="Calibri"/>
          <w:b w:val="0"/>
          <w:i w:val="0"/>
          <w:color w:val="000000"/>
          <w:sz w:val="18"/>
        </w:rPr>
        <w:t>Meningkatnya devisa kas negara dan pemerataan ekonomi</w:t>
      </w:r>
    </w:p>
    <w:p>
      <w:pPr>
        <w:spacing w:before="0" w:after="20"/>
        <w:ind w:left="576"/>
      </w:pPr>
      <w:r>
        <w:rPr>
          <w:rFonts w:ascii="Calibri" w:hAnsi="Calibri"/>
          <w:b w:val="0"/>
          <w:i w:val="0"/>
          <w:color w:val="000000"/>
          <w:sz w:val="18"/>
        </w:rPr>
        <w:t>Munculnya ketenangan batin semu yang abadi</w:t>
      </w:r>
    </w:p>
    <w:p>
      <w:pPr>
        <w:spacing w:before="0" w:after="20"/>
        <w:ind w:left="576"/>
      </w:pPr>
      <w:r>
        <w:rPr>
          <w:rFonts w:ascii="Calibri" w:hAnsi="Calibri"/>
          <w:b w:val="0"/>
          <w:i w:val="0"/>
          <w:color w:val="000000"/>
          <w:sz w:val="18"/>
        </w:rPr>
        <w:t>Membuat badan menjadi kebal dari penyakit menular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Ayat 91 menegaskan: Setan bermaksud menimbulkan permusuhan dan kebencian di antara kamu lantaran meminum khamr dan berjudi, serta menghalangi kamu dari mengingat Allah.</w:t>
      </w:r>
    </w:p>
    <w:p>
      <w:pPr>
        <w:spacing w:before="80" w:after="40"/>
        <w:ind w:left="216"/>
      </w:pPr>
      <w:r>
        <w:rPr>
          <w:rFonts w:ascii="Calibri" w:hAnsi="Calibri"/>
          <w:b/>
          <w:color w:val="000000"/>
          <w:sz w:val="19"/>
        </w:rPr>
        <w:t xml:space="preserve">2. </w:t>
      </w:r>
      <w:r>
        <w:rPr>
          <w:rFonts w:ascii="Calibri" w:hAnsi="Calibri"/>
          <w:b w:val="0"/>
          <w:i w:val="0"/>
          <w:color w:val="000000"/>
          <w:sz w:val="19"/>
        </w:rPr>
        <w:t>Segala jenis minuman atau zat adiktif yang memiliki efek memabukkan dan menghilangkan fungsi nalar akal sehat dikategorikan sebagai khamr berdasarkan kaidah hadis...</w:t>
      </w:r>
    </w:p>
    <w:p>
      <w:pPr>
        <w:spacing w:before="0" w:after="20"/>
        <w:ind w:left="576"/>
      </w:pPr>
      <w:r>
        <w:rPr>
          <w:rFonts w:ascii="Calibri" w:hAnsi="Calibri"/>
          <w:b w:val="0"/>
          <w:i w:val="0"/>
          <w:color w:val="000000"/>
          <w:sz w:val="18"/>
        </w:rPr>
        <w:t>Kullu muskirin khamrun wa kullu khamrin haram (Setiap yang memabukkan adalah khamr dan setiap khamr haram)</w:t>
      </w:r>
    </w:p>
    <w:p>
      <w:pPr>
        <w:spacing w:before="0" w:after="20"/>
        <w:ind w:left="576"/>
      </w:pPr>
      <w:r>
        <w:rPr>
          <w:rFonts w:ascii="Calibri" w:hAnsi="Calibri"/>
          <w:b w:val="0"/>
          <w:i w:val="0"/>
          <w:color w:val="000000"/>
          <w:sz w:val="18"/>
        </w:rPr>
        <w:t>Thalabul 'ilmi faridhatun 'ala kulli muslim</w:t>
      </w:r>
    </w:p>
    <w:p>
      <w:pPr>
        <w:spacing w:before="0" w:after="20"/>
        <w:ind w:left="576"/>
      </w:pPr>
      <w:r>
        <w:rPr>
          <w:rFonts w:ascii="Calibri" w:hAnsi="Calibri"/>
          <w:b w:val="0"/>
          <w:i w:val="0"/>
          <w:color w:val="000000"/>
          <w:sz w:val="18"/>
        </w:rPr>
        <w:t>Innamal a'malu bin-niyyat</w:t>
      </w:r>
    </w:p>
    <w:p>
      <w:pPr>
        <w:spacing w:before="0" w:after="20"/>
        <w:ind w:left="576"/>
      </w:pPr>
      <w:r>
        <w:rPr>
          <w:rFonts w:ascii="Calibri" w:hAnsi="Calibri"/>
          <w:b w:val="0"/>
          <w:i w:val="0"/>
          <w:color w:val="000000"/>
          <w:sz w:val="18"/>
        </w:rPr>
        <w:t>Al-Muslimu man salimal muslimuna min lisanihi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Hadis sahih riwayat Muslim menetapkan bahwa sifat memabukkan (*iskar*) adalah 'illat keharaman zat tersebut.</w:t>
      </w:r>
    </w:p>
    <w:p>
      <w:pPr>
        <w:spacing w:before="80" w:after="40"/>
        <w:ind w:left="216"/>
      </w:pPr>
      <w:r>
        <w:rPr>
          <w:rFonts w:ascii="Calibri" w:hAnsi="Calibri"/>
          <w:b/>
          <w:color w:val="000000"/>
          <w:sz w:val="19"/>
        </w:rPr>
        <w:t xml:space="preserve">3. </w:t>
      </w:r>
      <w:r>
        <w:rPr>
          <w:rFonts w:ascii="Calibri" w:hAnsi="Calibri"/>
          <w:b w:val="0"/>
          <w:i w:val="0"/>
          <w:color w:val="000000"/>
          <w:sz w:val="19"/>
        </w:rPr>
        <w:t>Skema permainan digital di mana pemain mempertaruhkan sejumlah uang untuk mengharapkan kelipatan imbalan berdasarkan keberuntungan algoritma tanpa kerja riil termasuk kategori...</w:t>
      </w:r>
    </w:p>
    <w:p>
      <w:pPr>
        <w:spacing w:before="0" w:after="20"/>
        <w:ind w:left="576"/>
      </w:pPr>
      <w:r>
        <w:rPr>
          <w:rFonts w:ascii="Calibri" w:hAnsi="Calibri"/>
          <w:b w:val="0"/>
          <w:i w:val="0"/>
          <w:color w:val="000000"/>
          <w:sz w:val="18"/>
        </w:rPr>
        <w:t>Maysir (Perjudian Online)</w:t>
      </w:r>
    </w:p>
    <w:p>
      <w:pPr>
        <w:spacing w:before="0" w:after="20"/>
        <w:ind w:left="576"/>
      </w:pPr>
      <w:r>
        <w:rPr>
          <w:rFonts w:ascii="Calibri" w:hAnsi="Calibri"/>
          <w:b w:val="0"/>
          <w:i w:val="0"/>
          <w:color w:val="000000"/>
          <w:sz w:val="18"/>
        </w:rPr>
        <w:t>Tijarah (Jual beli halal)</w:t>
      </w:r>
    </w:p>
    <w:p>
      <w:pPr>
        <w:spacing w:before="0" w:after="20"/>
        <w:ind w:left="576"/>
      </w:pPr>
      <w:r>
        <w:rPr>
          <w:rFonts w:ascii="Calibri" w:hAnsi="Calibri"/>
          <w:b w:val="0"/>
          <w:i w:val="0"/>
          <w:color w:val="000000"/>
          <w:sz w:val="18"/>
        </w:rPr>
        <w:t>Mudharabah (Bagi hasil)</w:t>
      </w:r>
    </w:p>
    <w:p>
      <w:pPr>
        <w:spacing w:before="0" w:after="20"/>
        <w:ind w:left="576"/>
      </w:pPr>
      <w:r>
        <w:rPr>
          <w:rFonts w:ascii="Calibri" w:hAnsi="Calibri"/>
          <w:b w:val="0"/>
          <w:i w:val="0"/>
          <w:color w:val="000000"/>
          <w:sz w:val="18"/>
        </w:rPr>
        <w:t>Wadi'ah (Titipan amanah)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Permainan untung-untungan dengan taruhan dana bernilai maysir yang diharamkan syariat.</w:t>
      </w:r>
    </w:p>
    <w:p>
      <w:pPr>
        <w:spacing w:before="80" w:after="40"/>
        <w:ind w:left="216"/>
      </w:pPr>
      <w:r>
        <w:rPr>
          <w:rFonts w:ascii="Calibri" w:hAnsi="Calibri"/>
          <w:b/>
          <w:color w:val="000000"/>
          <w:sz w:val="19"/>
        </w:rPr>
        <w:t xml:space="preserve">4. </w:t>
      </w:r>
      <w:r>
        <w:rPr>
          <w:rFonts w:ascii="Calibri" w:hAnsi="Calibri"/>
          <w:b w:val="0"/>
          <w:i w:val="0"/>
          <w:color w:val="000000"/>
          <w:sz w:val="19"/>
        </w:rPr>
        <w:t>Petunjuk Rasulullah SAW ketika seseorang sedang dilanda amarah yang memuncak adalah...</w:t>
      </w:r>
    </w:p>
    <w:p>
      <w:pPr>
        <w:spacing w:before="0" w:after="20"/>
        <w:ind w:left="576"/>
      </w:pPr>
      <w:r>
        <w:rPr>
          <w:rFonts w:ascii="Calibri" w:hAnsi="Calibri"/>
          <w:b w:val="0"/>
          <w:i w:val="0"/>
          <w:color w:val="000000"/>
          <w:sz w:val="18"/>
        </w:rPr>
        <w:t>Mengambil air wudu, mengubah posisi menjadi duduk atau berbaring, dan diam</w:t>
      </w:r>
    </w:p>
    <w:p>
      <w:pPr>
        <w:spacing w:before="0" w:after="20"/>
        <w:ind w:left="576"/>
      </w:pPr>
      <w:r>
        <w:rPr>
          <w:rFonts w:ascii="Calibri" w:hAnsi="Calibri"/>
          <w:b w:val="0"/>
          <w:i w:val="0"/>
          <w:color w:val="000000"/>
          <w:sz w:val="18"/>
        </w:rPr>
        <w:t>Segera melampiaskan emosi dengan memukul benda sekitar</w:t>
      </w:r>
    </w:p>
    <w:p>
      <w:pPr>
        <w:spacing w:before="0" w:after="20"/>
        <w:ind w:left="576"/>
      </w:pPr>
      <w:r>
        <w:rPr>
          <w:rFonts w:ascii="Calibri" w:hAnsi="Calibri"/>
          <w:b w:val="0"/>
          <w:i w:val="0"/>
          <w:color w:val="000000"/>
          <w:sz w:val="18"/>
        </w:rPr>
        <w:t>Menantang lawan bicara untuk berduel fisik</w:t>
      </w:r>
    </w:p>
    <w:p>
      <w:pPr>
        <w:spacing w:before="0" w:after="20"/>
        <w:ind w:left="576"/>
      </w:pPr>
      <w:r>
        <w:rPr>
          <w:rFonts w:ascii="Calibri" w:hAnsi="Calibri"/>
          <w:b w:val="0"/>
          <w:i w:val="0"/>
          <w:color w:val="000000"/>
          <w:sz w:val="18"/>
        </w:rPr>
        <w:t>Menenggak minuman beralkohol agar rileks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Sunnah Nabi ketika marah: diam, membaca ta'awudz, duduk/berbaring, dan berwudu untuk memadamkan api amarah.</w:t>
      </w:r>
    </w:p>
    <w:p>
      <w:pPr>
        <w:spacing w:before="80" w:after="40"/>
        <w:ind w:left="216"/>
      </w:pPr>
      <w:r>
        <w:rPr>
          <w:rFonts w:ascii="Calibri" w:hAnsi="Calibri"/>
          <w:b/>
          <w:color w:val="000000"/>
          <w:sz w:val="19"/>
        </w:rPr>
        <w:t xml:space="preserve">5. </w:t>
      </w:r>
      <w:r>
        <w:rPr>
          <w:rFonts w:ascii="Calibri" w:hAnsi="Calibri"/>
          <w:b w:val="0"/>
          <w:i w:val="0"/>
          <w:color w:val="000000"/>
          <w:sz w:val="19"/>
        </w:rPr>
        <w:t>Sikap yang paling tepat jika terjadi perselisihan antarkelompok pelajar di lingkungan sekolah adalah...</w:t>
      </w:r>
    </w:p>
    <w:p>
      <w:pPr>
        <w:spacing w:before="0" w:after="20"/>
        <w:ind w:left="576"/>
      </w:pPr>
      <w:r>
        <w:rPr>
          <w:rFonts w:ascii="Calibri" w:hAnsi="Calibri"/>
          <w:b w:val="0"/>
          <w:i w:val="0"/>
          <w:color w:val="000000"/>
          <w:sz w:val="18"/>
        </w:rPr>
        <w:t>Melakukan upaya ishlah (mediasi damai) dengan melibatkan guru bimbingan konseling dan pimpinan OSIS</w:t>
      </w:r>
    </w:p>
    <w:p>
      <w:pPr>
        <w:spacing w:before="0" w:after="20"/>
        <w:ind w:left="576"/>
      </w:pPr>
      <w:r>
        <w:rPr>
          <w:rFonts w:ascii="Calibri" w:hAnsi="Calibri"/>
          <w:b w:val="0"/>
          <w:i w:val="0"/>
          <w:color w:val="000000"/>
          <w:sz w:val="18"/>
        </w:rPr>
        <w:t>Mengerahkan massa alumni untuk melakukan aksi penyerangan balasan</w:t>
      </w:r>
    </w:p>
    <w:p>
      <w:pPr>
        <w:spacing w:before="0" w:after="20"/>
        <w:ind w:left="576"/>
      </w:pPr>
      <w:r>
        <w:rPr>
          <w:rFonts w:ascii="Calibri" w:hAnsi="Calibri"/>
          <w:b w:val="0"/>
          <w:i w:val="0"/>
          <w:color w:val="000000"/>
          <w:sz w:val="18"/>
        </w:rPr>
        <w:t>Menyebarkan video ancaman di media sosial</w:t>
      </w:r>
    </w:p>
    <w:p>
      <w:pPr>
        <w:spacing w:before="0" w:after="20"/>
        <w:ind w:left="576"/>
      </w:pPr>
      <w:r>
        <w:rPr>
          <w:rFonts w:ascii="Calibri" w:hAnsi="Calibri"/>
          <w:b w:val="0"/>
          <w:i w:val="0"/>
          <w:color w:val="000000"/>
          <w:sz w:val="18"/>
        </w:rPr>
        <w:t>Membiarkan perkelahian hingga salah satu pihak menyerah kalah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Ishlah mengutamakan rekonsiliasi, pemulihan perdamaian, dan penghapusan dendam antarpelajar.</w:t>
      </w:r>
    </w:p>
    <w:p>
      <w:r>
        <w:br w:type="page"/>
      </w:r>
    </w:p>
    <w:p>
      <w:pPr>
        <w:pStyle w:val="Title"/>
      </w:pPr>
      <w:r>
        <w:t>LEMBAR KERJA PESERTA DIDIK (LKPD)</w:t>
      </w:r>
    </w:p>
    <w:p>
      <w:pPr>
        <w:pStyle w:val="Subtitle"/>
      </w:pPr>
      <w:r>
        <w:t>Mata Pelajaran: Pendidikan Agama Islam dan Budi Pekerti • Bab 3: Menghindari Perilaku Menyimpang: Khamr, Judi, dan Tawuran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Kandungan QS Al-Ma'idah/5: 90-91 tentang Khamr dan Maysir</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tahapan pengharaman khamr dalam Al-Qur'an dan dampak perusak akal pikiran.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Bahaya Laten Narkoba dan Judi Online bagi Masa Depan Remaja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skema jeratan adiksi psikologis dan kerugian finansial akibat judi daring.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Resolusi Konflik Antarpelajar dan Budaya Anti-Kekerasan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Menghentikan tradisi tawuran sekolah melalui dialog ishlah dan penguatan solidaritas kebangsaan.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Manajemen Emosi Islami dan Kontrol Diri (Mujahadah An-Nafs)</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cara menahan amarah sesuai sunnah Rasulullah SAW (berwudu, mengubah posisi, diam).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Surah Al-Ma'idah ayat 90–91 secara tegas menggolongkan khamr (minuman keras dan zat adiktif perusak akal), *maysir* (perjudian), berkorban untuk berhala, dan mengundi nasib sebagai perbuatan keji (*rijsun*) yang termasuk tipu daya setan. Perbuatan tersebut menimbulkan permusuhan dan kebencian antarsesama serta memalingkan hati dari mengingat Allah.</w:t>
      </w:r>
    </w:p>
    <w:p>
      <w:pPr>
        <w:spacing w:before="40" w:after="60" w:line="276" w:lineRule="auto"/>
      </w:pPr>
      <w:r>
        <w:rPr>
          <w:rFonts w:ascii="Calibri" w:hAnsi="Calibri"/>
          <w:b w:val="0"/>
          <w:i w:val="0"/>
          <w:color w:val="000000"/>
          <w:sz w:val="19"/>
        </w:rPr>
        <w:t>Dalam konteks modern, bahaya perjudian bermutasi menjadi judi online dan platform spekulatif berkedok gim digital yang menyasar kalangan remaja. Dampak adiksi judi dan narkoba memicu kehancuran finansial, depresi mental, serta kriminalitas.</w:t>
      </w:r>
    </w:p>
    <w:p>
      <w:pPr>
        <w:spacing w:before="40" w:after="60" w:line="276" w:lineRule="auto"/>
      </w:pPr>
      <w:r>
        <w:rPr>
          <w:rFonts w:ascii="Calibri" w:hAnsi="Calibri"/>
          <w:b w:val="0"/>
          <w:i w:val="0"/>
          <w:color w:val="000000"/>
          <w:sz w:val="19"/>
        </w:rPr>
        <w:t>Tawuran antarpelajar mencerminkan kegagalan pengendalian amarah (*ghadhab*) dan minimnya empati persaudaraan. Islam mengajarkan resolusi damai (*ishlah*), pemaafan, dan kompetisi positif dalam kebajikan (*fastabiqul khairat*).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Khamr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zat atau minuman yang memabukkan, menghilangkan kesadaran, dan merusak fungsi akal sehat manusia.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Maysir (Qimar)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Setiap bentuk permainan atau transaksi spekulatif untung-untungan di mana pihak yang kalah kehilangan hartanya kepada pihak yang menang.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Ishlah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mendamaikan, memperbaiki hubungan yang retak, dan menyelesaikan persengketaan antarsesama secara damai.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Mujahadah An-Nafs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Kesungguhan berjuang mengendalikan hawa nafsu dan amarah pribadi agar tetap berada dalam koridor syariat.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Rijsun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Sesuatu yang kotor, najis secara maknawi, dan menjijikkan yang wajib dijauhi oleh orang-orang beriman.</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