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Menghindari Perilaku Tercela (Akhlak Mazmumah)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bahaya perilaku berfoya-foya, riya, sum'ah, takabur, dan hasad.</w:t>
      </w:r>
    </w:p>
    <w:p>
      <w:pPr>
        <w:pStyle w:val="ListNumber"/>
      </w:pPr>
      <w:r>
        <w:rPr>
          <w:rFonts w:ascii="Calibri" w:hAnsi="Calibri"/>
          <w:b w:val="0"/>
          <w:i w:val="0"/>
          <w:color w:val="000000"/>
          <w:sz w:val="19"/>
        </w:rPr>
        <w:t>Peserta didik mampu mengidentifikasi cara menghindarkan diri dari penyakit hati dalam kehidupan bermasyarakat.</w:t>
      </w:r>
    </w:p>
    <w:p>
      <w:pPr>
        <w:pStyle w:val="ListNumber"/>
      </w:pPr>
      <w:r>
        <w:rPr>
          <w:rFonts w:ascii="Calibri" w:hAnsi="Calibri"/>
          <w:b w:val="0"/>
          <w:i w:val="0"/>
          <w:color w:val="000000"/>
          <w:sz w:val="19"/>
        </w:rPr>
        <w:t>Peserta didik mampu membiasakan sikap rendah hati (tawaduk), ikhlas, dan hidup bersahaja.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bahaya akhlak tercela: hidup berfoya-foya (*israf* dan *tabzir*), riya, sum'ah, takabur (sombong), hasad (dengki), serta pembiasaan sifat tawaduk, ikhlas, dan qana'ah.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Bahaya Israf (Berlebihan) dan Tabzir (Pemborosan)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kebutuhan primer dengan keinginan konsumtif serta larangan bersikap boros dalam Al-Qur'an.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Hakikat dan Dampak Riya serta Sum'ah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bahaya syirik kecil (syirik khafi) yang merusak keikhlasan niat beribadah.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Menghindari Sifat Takabur dan Hasad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definisi takabur (menolak kebenaran, memandang rendah sesama) dan racun dengki hati.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Membiasakan Sifat Ikhlas, Tawaduk, dan Qana'ah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rasa syukur, kerendahan hati, dan pengendalian emosi dalam pergaulan remaja.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mendasar antara perilaku *israf* dan *tabzir* dalam pandangan fikih Islam adalah...</w:t>
      </w:r>
    </w:p>
    <w:p>
      <w:pPr>
        <w:spacing w:before="0" w:after="20"/>
        <w:ind w:left="576"/>
      </w:pPr>
      <w:r>
        <w:rPr>
          <w:rFonts w:ascii="Calibri" w:hAnsi="Calibri"/>
          <w:b w:val="0"/>
          <w:i w:val="0"/>
          <w:color w:val="000000"/>
          <w:sz w:val="18"/>
        </w:rPr>
        <w:t>Israf adalah membelanjakan harta pada hal mubah secara berlebihan, sedangkan tabzir adalah membelanjakan harta untuk hal yang sia-sia atau maksiat</w:t>
      </w:r>
    </w:p>
    <w:p>
      <w:pPr>
        <w:spacing w:before="0" w:after="20"/>
        <w:ind w:left="576"/>
      </w:pPr>
      <w:r>
        <w:rPr>
          <w:rFonts w:ascii="Calibri" w:hAnsi="Calibri"/>
          <w:b w:val="0"/>
          <w:i w:val="0"/>
          <w:color w:val="000000"/>
          <w:sz w:val="18"/>
        </w:rPr>
        <w:t>Israf khusus untuk makanan, sedangkan tabzir khusus untuk pakaian</w:t>
      </w:r>
    </w:p>
    <w:p>
      <w:pPr>
        <w:spacing w:before="0" w:after="20"/>
        <w:ind w:left="576"/>
      </w:pPr>
      <w:r>
        <w:rPr>
          <w:rFonts w:ascii="Calibri" w:hAnsi="Calibri"/>
          <w:b w:val="0"/>
          <w:i w:val="0"/>
          <w:color w:val="000000"/>
          <w:sz w:val="18"/>
        </w:rPr>
        <w:t>Israf diperbolehkan bagi orang kaya, sedangkan tabzir dilarang untuk semua orang</w:t>
      </w:r>
    </w:p>
    <w:p>
      <w:pPr>
        <w:spacing w:before="0" w:after="20"/>
        <w:ind w:left="576"/>
      </w:pPr>
      <w:r>
        <w:rPr>
          <w:rFonts w:ascii="Calibri" w:hAnsi="Calibri"/>
          <w:b w:val="0"/>
          <w:i w:val="0"/>
          <w:color w:val="000000"/>
          <w:sz w:val="18"/>
        </w:rPr>
        <w:t>Israf adalah sifat terpuji, sedangkan tabzir adalah sifat tercela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*Israf* melampaui batas kewajaran pada hal mubah, sedangkan *tabzir* membuang-buang harta pada perkara haram atau tiada guna (saudara setan).</w:t>
      </w:r>
    </w:p>
    <w:p>
      <w:pPr>
        <w:spacing w:before="80" w:after="40"/>
        <w:ind w:left="216"/>
      </w:pPr>
      <w:r>
        <w:rPr>
          <w:rFonts w:ascii="Calibri" w:hAnsi="Calibri"/>
          <w:b/>
          <w:color w:val="000000"/>
          <w:sz w:val="19"/>
        </w:rPr>
        <w:t xml:space="preserve">2. </w:t>
      </w:r>
      <w:r>
        <w:rPr>
          <w:rFonts w:ascii="Calibri" w:hAnsi="Calibri"/>
          <w:b w:val="0"/>
          <w:i w:val="0"/>
          <w:color w:val="000000"/>
          <w:sz w:val="19"/>
        </w:rPr>
        <w:t>Rasulullah SAW mendefinisikan hakikat kesombongan (*al-kibr*) sebagai...</w:t>
      </w:r>
    </w:p>
    <w:p>
      <w:pPr>
        <w:spacing w:before="0" w:after="20"/>
        <w:ind w:left="576"/>
      </w:pPr>
      <w:r>
        <w:rPr>
          <w:rFonts w:ascii="Calibri" w:hAnsi="Calibri"/>
          <w:b w:val="0"/>
          <w:i w:val="0"/>
          <w:color w:val="000000"/>
          <w:sz w:val="18"/>
        </w:rPr>
        <w:t>Memakai pakaian yang bersih dan sandal yang bagus</w:t>
      </w:r>
    </w:p>
    <w:p>
      <w:pPr>
        <w:spacing w:before="0" w:after="20"/>
        <w:ind w:left="576"/>
      </w:pPr>
      <w:r>
        <w:rPr>
          <w:rFonts w:ascii="Calibri" w:hAnsi="Calibri"/>
          <w:b w:val="0"/>
          <w:i w:val="0"/>
          <w:color w:val="000000"/>
          <w:sz w:val="18"/>
        </w:rPr>
        <w:t>Menolak kebenaran dan memandang rendah orang lain</w:t>
      </w:r>
    </w:p>
    <w:p>
      <w:pPr>
        <w:spacing w:before="0" w:after="20"/>
        <w:ind w:left="576"/>
      </w:pPr>
      <w:r>
        <w:rPr>
          <w:rFonts w:ascii="Calibri" w:hAnsi="Calibri"/>
          <w:b w:val="0"/>
          <w:i w:val="0"/>
          <w:color w:val="000000"/>
          <w:sz w:val="18"/>
        </w:rPr>
        <w:t>Memiliki rumah yang luas dan kendaraan yang nyaman</w:t>
      </w:r>
    </w:p>
    <w:p>
      <w:pPr>
        <w:spacing w:before="0" w:after="20"/>
        <w:ind w:left="576"/>
      </w:pPr>
      <w:r>
        <w:rPr>
          <w:rFonts w:ascii="Calibri" w:hAnsi="Calibri"/>
          <w:b w:val="0"/>
          <w:i w:val="0"/>
          <w:color w:val="000000"/>
          <w:sz w:val="18"/>
        </w:rPr>
        <w:t>Menyukai makanan yang lezat dan bergizi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Hadis riwayat Muslim menegaskan: *Al-kibru batharul haqqi wa ghamthun naas* (Sombong adalah menolak kebenaran dan meremehkan orang lain).</w:t>
      </w:r>
    </w:p>
    <w:p>
      <w:pPr>
        <w:spacing w:before="80" w:after="40"/>
        <w:ind w:left="216"/>
      </w:pPr>
      <w:r>
        <w:rPr>
          <w:rFonts w:ascii="Calibri" w:hAnsi="Calibri"/>
          <w:b/>
          <w:color w:val="000000"/>
          <w:sz w:val="19"/>
        </w:rPr>
        <w:t xml:space="preserve">3. </w:t>
      </w:r>
      <w:r>
        <w:rPr>
          <w:rFonts w:ascii="Calibri" w:hAnsi="Calibri"/>
          <w:b w:val="0"/>
          <w:i w:val="0"/>
          <w:color w:val="000000"/>
          <w:sz w:val="19"/>
        </w:rPr>
        <w:t>Amalan sedekah seseorang yang diunggah ke media sosial dengan harapan mendapat banyak pujian dan pengakuan dari warganet berisiko terjangkit sifat...</w:t>
      </w:r>
    </w:p>
    <w:p>
      <w:pPr>
        <w:spacing w:before="0" w:after="20"/>
        <w:ind w:left="576"/>
      </w:pPr>
      <w:r>
        <w:rPr>
          <w:rFonts w:ascii="Calibri" w:hAnsi="Calibri"/>
          <w:b w:val="0"/>
          <w:i w:val="0"/>
          <w:color w:val="000000"/>
          <w:sz w:val="18"/>
        </w:rPr>
        <w:t>Tawaduk</w:t>
      </w:r>
    </w:p>
    <w:p>
      <w:pPr>
        <w:spacing w:before="0" w:after="20"/>
        <w:ind w:left="576"/>
      </w:pPr>
      <w:r>
        <w:rPr>
          <w:rFonts w:ascii="Calibri" w:hAnsi="Calibri"/>
          <w:b w:val="0"/>
          <w:i w:val="0"/>
          <w:color w:val="000000"/>
          <w:sz w:val="18"/>
        </w:rPr>
        <w:t>Riya dan Sum'ah</w:t>
      </w:r>
    </w:p>
    <w:p>
      <w:pPr>
        <w:spacing w:before="0" w:after="20"/>
        <w:ind w:left="576"/>
      </w:pPr>
      <w:r>
        <w:rPr>
          <w:rFonts w:ascii="Calibri" w:hAnsi="Calibri"/>
          <w:b w:val="0"/>
          <w:i w:val="0"/>
          <w:color w:val="000000"/>
          <w:sz w:val="18"/>
        </w:rPr>
        <w:t>Qana'ah</w:t>
      </w:r>
    </w:p>
    <w:p>
      <w:pPr>
        <w:spacing w:before="0" w:after="20"/>
        <w:ind w:left="576"/>
      </w:pPr>
      <w:r>
        <w:rPr>
          <w:rFonts w:ascii="Calibri" w:hAnsi="Calibri"/>
          <w:b w:val="0"/>
          <w:i w:val="0"/>
          <w:color w:val="000000"/>
          <w:sz w:val="18"/>
        </w:rPr>
        <w:t>Istiqamah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Riya (ingin dilihat) dan sum'ah (ingin didengar/dipuji) merusak keikhlasan amal dan menghapus pahala ibadah.</w:t>
      </w:r>
    </w:p>
    <w:p>
      <w:pPr>
        <w:spacing w:before="80" w:after="40"/>
        <w:ind w:left="216"/>
      </w:pPr>
      <w:r>
        <w:rPr>
          <w:rFonts w:ascii="Calibri" w:hAnsi="Calibri"/>
          <w:b/>
          <w:color w:val="000000"/>
          <w:sz w:val="19"/>
        </w:rPr>
        <w:t xml:space="preserve">4. </w:t>
      </w:r>
      <w:r>
        <w:rPr>
          <w:rFonts w:ascii="Calibri" w:hAnsi="Calibri"/>
          <w:b w:val="0"/>
          <w:i w:val="0"/>
          <w:color w:val="000000"/>
          <w:sz w:val="19"/>
        </w:rPr>
        <w:t>Bahaya utama dari penyakit hati *hasad* (dengki) sebagaimana digambarkan dalam hadis Nabi adalah...</w:t>
      </w:r>
    </w:p>
    <w:p>
      <w:pPr>
        <w:spacing w:before="0" w:after="20"/>
        <w:ind w:left="576"/>
      </w:pPr>
      <w:r>
        <w:rPr>
          <w:rFonts w:ascii="Calibri" w:hAnsi="Calibri"/>
          <w:b w:val="0"/>
          <w:i w:val="0"/>
          <w:color w:val="000000"/>
          <w:sz w:val="18"/>
        </w:rPr>
        <w:t>Menambah kekayaan materi orang yang didengki</w:t>
      </w:r>
    </w:p>
    <w:p>
      <w:pPr>
        <w:spacing w:before="0" w:after="20"/>
        <w:ind w:left="576"/>
      </w:pPr>
      <w:r>
        <w:rPr>
          <w:rFonts w:ascii="Calibri" w:hAnsi="Calibri"/>
          <w:b w:val="0"/>
          <w:i w:val="0"/>
          <w:color w:val="000000"/>
          <w:sz w:val="18"/>
        </w:rPr>
        <w:t>Memakan kebaikan-kebaikan pahala laksana api yang melahap kayu bakar yang kering</w:t>
      </w:r>
    </w:p>
    <w:p>
      <w:pPr>
        <w:spacing w:before="0" w:after="20"/>
        <w:ind w:left="576"/>
      </w:pPr>
      <w:r>
        <w:rPr>
          <w:rFonts w:ascii="Calibri" w:hAnsi="Calibri"/>
          <w:b w:val="0"/>
          <w:i w:val="0"/>
          <w:color w:val="000000"/>
          <w:sz w:val="18"/>
        </w:rPr>
        <w:t>Menjadikan seseorang cepat terkenal</w:t>
      </w:r>
    </w:p>
    <w:p>
      <w:pPr>
        <w:spacing w:before="0" w:after="20"/>
        <w:ind w:left="576"/>
      </w:pPr>
      <w:r>
        <w:rPr>
          <w:rFonts w:ascii="Calibri" w:hAnsi="Calibri"/>
          <w:b w:val="0"/>
          <w:i w:val="0"/>
          <w:color w:val="000000"/>
          <w:sz w:val="18"/>
        </w:rPr>
        <w:t>Membuat orang lain kehilangan seluruh kecerdasannya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Hadis Nabi menegaskan bahwa sifat hasad memakan kebaikan sebagaimana api memakan kayu bakar (*Iyyakum wal hasad...*).</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tepat ketika melihat seorang sahabat meraih prestasi juara kelas atau penghargaan olimpiade adalah...</w:t>
      </w:r>
    </w:p>
    <w:p>
      <w:pPr>
        <w:spacing w:before="0" w:after="20"/>
        <w:ind w:left="576"/>
      </w:pPr>
      <w:r>
        <w:rPr>
          <w:rFonts w:ascii="Calibri" w:hAnsi="Calibri"/>
          <w:b w:val="0"/>
          <w:i w:val="0"/>
          <w:color w:val="000000"/>
          <w:sz w:val="18"/>
        </w:rPr>
        <w:t>Merasa iri dan mencari-cari kesalahan sahabat tersebut</w:t>
      </w:r>
    </w:p>
    <w:p>
      <w:pPr>
        <w:spacing w:before="0" w:after="20"/>
        <w:ind w:left="576"/>
      </w:pPr>
      <w:r>
        <w:rPr>
          <w:rFonts w:ascii="Calibri" w:hAnsi="Calibri"/>
          <w:b w:val="0"/>
          <w:i w:val="0"/>
          <w:color w:val="000000"/>
          <w:sz w:val="18"/>
        </w:rPr>
        <w:t>Mendoakan keberkahan, mengucapkan selamat dengan tulus, dan termotivasi belajar lebih giat (gibtah)</w:t>
      </w:r>
    </w:p>
    <w:p>
      <w:pPr>
        <w:spacing w:before="0" w:after="20"/>
        <w:ind w:left="576"/>
      </w:pPr>
      <w:r>
        <w:rPr>
          <w:rFonts w:ascii="Calibri" w:hAnsi="Calibri"/>
          <w:b w:val="0"/>
          <w:i w:val="0"/>
          <w:color w:val="000000"/>
          <w:sz w:val="18"/>
        </w:rPr>
        <w:t>Menyebarkan fitnah bahwa sahabat tersebut berbuat curang</w:t>
      </w:r>
    </w:p>
    <w:p>
      <w:pPr>
        <w:spacing w:before="0" w:after="20"/>
        <w:ind w:left="576"/>
      </w:pPr>
      <w:r>
        <w:rPr>
          <w:rFonts w:ascii="Calibri" w:hAnsi="Calibri"/>
          <w:b w:val="0"/>
          <w:i w:val="0"/>
          <w:color w:val="000000"/>
          <w:sz w:val="18"/>
        </w:rPr>
        <w:t>Menjauhi sahabat tersebut selamanya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Sikap *gibtah* (iri positif yang memicu semangat berprestasi tanpa mengharapkan nikmat orang lain hilang) diperbolehkan dan terpuji dalam Islam.</w:t>
      </w:r>
    </w:p>
    <w:p>
      <w:r>
        <w:br w:type="page"/>
      </w:r>
    </w:p>
    <w:p>
      <w:pPr>
        <w:pStyle w:val="Title"/>
      </w:pPr>
      <w:r>
        <w:t>LEMBAR KERJA PESERTA DIDIK (LKPD)</w:t>
      </w:r>
    </w:p>
    <w:p>
      <w:pPr>
        <w:pStyle w:val="Subtitle"/>
      </w:pPr>
      <w:r>
        <w:t>Mata Pelajaran: Pendidikan Agama Islam dan Budi Pekerti • Bab 3: Menghindari Perilaku Tercela (Akhlak Mazmumah)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Bahaya Israf (Berlebihan) dan Tabzir (Pemborosan)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kebutuhan primer dengan keinginan konsumtif serta larangan bersikap boros dalam Al-Qur'an.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Hakikat dan Dampak Riya serta Sum'ah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bahaya syirik kecil (syirik khafi) yang merusak keikhlasan niat beribadah.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Menghindari Sifat Takabur dan Hasad</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definisi takabur (menolak kebenaran, memandang rendah sesama) dan racun dengki hati.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Membiasakan Sifat Ikhlas, Tawaduk, dan Qana'ah</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rasa syukur, kerendahan hati, dan pengendalian emosi dalam pergaulan remaja.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Penyakit hati (*amradhul qulub*) merupakan ancaman serius yang merusak kemurnian amal ibadah dan merusak tatanan harmoni sosial. Islam mengajarkan umatnya menjauhi perilaku hidup bermewah-mewahan secara berlebihan (*israf*) dan pemborosan sia-sia (*tabzir*).</w:t>
      </w:r>
    </w:p>
    <w:p>
      <w:pPr>
        <w:spacing w:before="40" w:after="60" w:line="276" w:lineRule="auto"/>
      </w:pPr>
      <w:r>
        <w:rPr>
          <w:rFonts w:ascii="Calibri" w:hAnsi="Calibri"/>
          <w:b w:val="0"/>
          <w:i w:val="0"/>
          <w:color w:val="000000"/>
          <w:sz w:val="19"/>
        </w:rPr>
        <w:t>Sifat riya (beramal demi pujian mata manusia) dan sum'ah (menceritakan kebaikan agar didengar orang lain) menghapuskan pahala amal saleh laksana debu di atas batu licin yang tersapu hujan deras. Sementara sifat takabur (menolak kebenaran dan meremehkan orang lain) menutup pintu hidayah.</w:t>
      </w:r>
    </w:p>
    <w:p>
      <w:pPr>
        <w:spacing w:before="40" w:after="60" w:line="276" w:lineRule="auto"/>
      </w:pPr>
      <w:r>
        <w:rPr>
          <w:rFonts w:ascii="Calibri" w:hAnsi="Calibri"/>
          <w:b w:val="0"/>
          <w:i w:val="0"/>
          <w:color w:val="000000"/>
          <w:sz w:val="19"/>
        </w:rPr>
        <w:t>Penawar dari penyakit-penyakit batin ini adalah menumbuhkan sifat ikhlas murni karena Allah, tawaduk (rendah hati tanpa merendahkan diri), serta qana'ah (merasa cukup dan bersyukur atas rezeki halal). Peserta didik diajak menerapkan gaya hidup bersahaja dan dermawan.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Israf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berlebih-lebihan dalam menggunakan harta, makanan, atau kenikmatan melebihi batas kepatutan syariat.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Tabzir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Pengeluaran harta untuk hal-hal yang sia-sia, maksiat, atau tanpa ada manfaat kebaikan sama sekali (pemborosan).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Melakukan suatu amalan ibadah dengan niat ingin dilihat, dipuji, atau disanjung oleh manusia, bukan karena Allah semata.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Takabur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sombong yang ditandai dengan menolak kebenaran (*batharul haq*) dan meremehkan martabat manusia lain (*ghamthun nas*).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Hasad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Perasaan tidak senang melihat orang lain memperoleh nikmat dan berharap nikmat tersebut hilang atau berpindah kepada dirinya.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