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Meneladani Perjuangan Rasulullah saw. (Fathu Makkah &amp; Haji Wada')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Menceritakan kronologi peristiwa Fathu Makkah dan keteladanan sikap pemaaf Rasulullah saw. terhadap kaum Quraisy.</w:t>
      </w:r>
    </w:p>
    <w:p>
      <w:pPr>
        <w:pStyle w:val="ListNumber"/>
      </w:pPr>
      <w:r>
        <w:rPr>
          <w:rFonts w:ascii="Calibri" w:hAnsi="Calibri"/>
          <w:b w:val="0"/>
          <w:i w:val="0"/>
          <w:color w:val="000000"/>
          <w:sz w:val="19"/>
        </w:rPr>
        <w:t>Menganalisis pesan moral universal dalam Khotbah Wada' mengenai penghapusan diskriminasi dan perlindungan hak perempuan.</w:t>
      </w:r>
    </w:p>
    <w:p>
      <w:pPr>
        <w:pStyle w:val="ListNumber"/>
      </w:pPr>
      <w:r>
        <w:rPr>
          <w:rFonts w:ascii="Calibri" w:hAnsi="Calibri"/>
          <w:b w:val="0"/>
          <w:i w:val="0"/>
          <w:color w:val="000000"/>
          <w:sz w:val="19"/>
        </w:rPr>
        <w:t>Meneladani sifat cinta damai, pemaaf, dan adil Rasulullah saw. dalam kehidupan bermasyarakat.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peristiwa penaklukan kota Makkah (Fathu Makkah) tanpa pertumpahan darah, sifat pemaaf Rasulullah saw., serta pesan-pesan kemanusiaan dalam Khotbah Wada' (Haji Perpisahan).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Sebab dan Kronologi Peristiwa Fathu Makkah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pelanggaran Perjanjian Hudaibiyah oleh Quraisy dan strategi damai masuk Makkah.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Kemuliaan Sikap Pemaaf Rasulullah saw.</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Meneladani sikap pemaaf agung Rasulullah saw. terhadap Abu Sufyan dan penduduk Makkah.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Peristiwa Haji Wada' dan Khutbah Terakhir Nabi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pesan persatuan, kesetaraan hak asasi manusia, dan wasiat terakhir.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Sikap mulia yang ditunjukkan Nabi Muhammad saw. kepada kaum kafir Quraisy saat berhasil membebaskan Kota Makkah (Fathu Makkah) adalah...</w:t>
      </w:r>
    </w:p>
    <w:p>
      <w:pPr>
        <w:spacing w:before="0" w:after="20"/>
        <w:ind w:left="576"/>
      </w:pPr>
      <w:r>
        <w:rPr>
          <w:rFonts w:ascii="Calibri" w:hAnsi="Calibri"/>
          <w:b w:val="0"/>
          <w:i w:val="0"/>
          <w:color w:val="000000"/>
          <w:sz w:val="18"/>
        </w:rPr>
        <w:t>A. Menghukum mati seluruh tawanan</w:t>
      </w:r>
    </w:p>
    <w:p>
      <w:pPr>
        <w:spacing w:before="0" w:after="20"/>
        <w:ind w:left="576"/>
      </w:pPr>
      <w:r>
        <w:rPr>
          <w:rFonts w:ascii="Calibri" w:hAnsi="Calibri"/>
          <w:b w:val="0"/>
          <w:i w:val="0"/>
          <w:color w:val="000000"/>
          <w:sz w:val="18"/>
        </w:rPr>
        <w:t>B. Membakar rumah penduduk</w:t>
      </w:r>
    </w:p>
    <w:p>
      <w:pPr>
        <w:spacing w:before="0" w:after="20"/>
        <w:ind w:left="576"/>
      </w:pPr>
      <w:r>
        <w:rPr>
          <w:rFonts w:ascii="Calibri" w:hAnsi="Calibri"/>
          <w:b w:val="0"/>
          <w:i w:val="0"/>
          <w:color w:val="000000"/>
          <w:sz w:val="18"/>
        </w:rPr>
        <w:t>C. Memaafkan seluruh penduduk Makkah dan menjamin keselamatan mereka tanpa dendam</w:t>
      </w:r>
    </w:p>
    <w:p>
      <w:pPr>
        <w:spacing w:before="0" w:after="20"/>
        <w:ind w:left="576"/>
      </w:pPr>
      <w:r>
        <w:rPr>
          <w:rFonts w:ascii="Calibri" w:hAnsi="Calibri"/>
          <w:b w:val="0"/>
          <w:i w:val="0"/>
          <w:color w:val="000000"/>
          <w:sz w:val="18"/>
        </w:rPr>
        <w:t>D. Merampas seluruh harta mereka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Rasulullah saw. mengumumkan amnesti umum: 'Pergilah, kalian semua bebas!' menunjukkan sifat pemaaf agung.</w:t>
      </w:r>
    </w:p>
    <w:p>
      <w:pPr>
        <w:spacing w:before="80" w:after="40"/>
        <w:ind w:left="216"/>
      </w:pPr>
      <w:r>
        <w:rPr>
          <w:rFonts w:ascii="Calibri" w:hAnsi="Calibri"/>
          <w:b/>
          <w:color w:val="000000"/>
          <w:sz w:val="19"/>
        </w:rPr>
        <w:t xml:space="preserve">2. </w:t>
      </w:r>
      <w:r>
        <w:rPr>
          <w:rFonts w:ascii="Calibri" w:hAnsi="Calibri"/>
          <w:b w:val="0"/>
          <w:i w:val="0"/>
          <w:color w:val="000000"/>
          <w:sz w:val="19"/>
        </w:rPr>
        <w:t>Peristiwa Fathu Makkah terjadi pada tahun ke-... Hijriah.</w:t>
      </w:r>
    </w:p>
    <w:p>
      <w:pPr>
        <w:spacing w:before="0" w:after="20"/>
        <w:ind w:left="576"/>
      </w:pPr>
      <w:r>
        <w:rPr>
          <w:rFonts w:ascii="Calibri" w:hAnsi="Calibri"/>
          <w:b w:val="0"/>
          <w:i w:val="0"/>
          <w:color w:val="000000"/>
          <w:sz w:val="18"/>
        </w:rPr>
        <w:t>A. 2 Hijriah</w:t>
      </w:r>
    </w:p>
    <w:p>
      <w:pPr>
        <w:spacing w:before="0" w:after="20"/>
        <w:ind w:left="576"/>
      </w:pPr>
      <w:r>
        <w:rPr>
          <w:rFonts w:ascii="Calibri" w:hAnsi="Calibri"/>
          <w:b w:val="0"/>
          <w:i w:val="0"/>
          <w:color w:val="000000"/>
          <w:sz w:val="18"/>
        </w:rPr>
        <w:t>B. 5 Hijriah</w:t>
      </w:r>
    </w:p>
    <w:p>
      <w:pPr>
        <w:spacing w:before="0" w:after="20"/>
        <w:ind w:left="576"/>
      </w:pPr>
      <w:r>
        <w:rPr>
          <w:rFonts w:ascii="Calibri" w:hAnsi="Calibri"/>
          <w:b w:val="0"/>
          <w:i w:val="0"/>
          <w:color w:val="000000"/>
          <w:sz w:val="18"/>
        </w:rPr>
        <w:t>C. 8 Hijriah</w:t>
      </w:r>
    </w:p>
    <w:p>
      <w:pPr>
        <w:spacing w:before="0" w:after="20"/>
        <w:ind w:left="576"/>
      </w:pPr>
      <w:r>
        <w:rPr>
          <w:rFonts w:ascii="Calibri" w:hAnsi="Calibri"/>
          <w:b w:val="0"/>
          <w:i w:val="0"/>
          <w:color w:val="000000"/>
          <w:sz w:val="18"/>
        </w:rPr>
        <w:t>D. 10 Hijriah</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Fathu Makkah berlangsung pada bulan Ramadan tahun 8 Hijriah.</w:t>
      </w:r>
    </w:p>
    <w:p>
      <w:pPr>
        <w:spacing w:before="80" w:after="40"/>
        <w:ind w:left="216"/>
      </w:pPr>
      <w:r>
        <w:rPr>
          <w:rFonts w:ascii="Calibri" w:hAnsi="Calibri"/>
          <w:b/>
          <w:color w:val="000000"/>
          <w:sz w:val="19"/>
        </w:rPr>
        <w:t xml:space="preserve">3. </w:t>
      </w:r>
      <w:r>
        <w:rPr>
          <w:rFonts w:ascii="Calibri" w:hAnsi="Calibri"/>
          <w:b w:val="0"/>
          <w:i w:val="0"/>
          <w:color w:val="000000"/>
          <w:sz w:val="19"/>
        </w:rPr>
        <w:t>Wasiat utama yang ditinggalkan Rasulullah saw. dalam Khutbah Wada' agar umat Islam tidak tersesat selamanya adalah...</w:t>
      </w:r>
    </w:p>
    <w:p>
      <w:pPr>
        <w:spacing w:before="0" w:after="20"/>
        <w:ind w:left="576"/>
      </w:pPr>
      <w:r>
        <w:rPr>
          <w:rFonts w:ascii="Calibri" w:hAnsi="Calibri"/>
          <w:b w:val="0"/>
          <w:i w:val="0"/>
          <w:color w:val="000000"/>
          <w:sz w:val="18"/>
        </w:rPr>
        <w:t>A. Emas dan perak yang melimpah</w:t>
      </w:r>
    </w:p>
    <w:p>
      <w:pPr>
        <w:spacing w:before="0" w:after="20"/>
        <w:ind w:left="576"/>
      </w:pPr>
      <w:r>
        <w:rPr>
          <w:rFonts w:ascii="Calibri" w:hAnsi="Calibri"/>
          <w:b w:val="0"/>
          <w:i w:val="0"/>
          <w:color w:val="000000"/>
          <w:sz w:val="18"/>
        </w:rPr>
        <w:t>B. Kitabullah (Al-Qur'an) dan Sunnah Nabi</w:t>
      </w:r>
    </w:p>
    <w:p>
      <w:pPr>
        <w:spacing w:before="0" w:after="20"/>
        <w:ind w:left="576"/>
      </w:pPr>
      <w:r>
        <w:rPr>
          <w:rFonts w:ascii="Calibri" w:hAnsi="Calibri"/>
          <w:b w:val="0"/>
          <w:i w:val="0"/>
          <w:color w:val="000000"/>
          <w:sz w:val="18"/>
        </w:rPr>
        <w:t>C. Kekuasaan tahta kerajaan</w:t>
      </w:r>
    </w:p>
    <w:p>
      <w:pPr>
        <w:spacing w:before="0" w:after="20"/>
        <w:ind w:left="576"/>
      </w:pPr>
      <w:r>
        <w:rPr>
          <w:rFonts w:ascii="Calibri" w:hAnsi="Calibri"/>
          <w:b w:val="0"/>
          <w:i w:val="0"/>
          <w:color w:val="000000"/>
          <w:sz w:val="18"/>
        </w:rPr>
        <w:t>D. Pasukan perang yang banyak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Nabi berwasiat: 'Kutinggalkan dua perkara, kalian tidak akan sesat selamanya jika berpegang teguh pada keduanya: Kitabullah dan Sunnahku'.</w:t>
      </w:r>
    </w:p>
    <w:p>
      <w:pPr>
        <w:spacing w:before="80" w:after="40"/>
        <w:ind w:left="216"/>
      </w:pPr>
      <w:r>
        <w:rPr>
          <w:rFonts w:ascii="Calibri" w:hAnsi="Calibri"/>
          <w:b/>
          <w:color w:val="000000"/>
          <w:sz w:val="19"/>
        </w:rPr>
        <w:t xml:space="preserve">4. </w:t>
      </w:r>
      <w:r>
        <w:rPr>
          <w:rFonts w:ascii="Calibri" w:hAnsi="Calibri"/>
          <w:b w:val="0"/>
          <w:i w:val="0"/>
          <w:color w:val="000000"/>
          <w:sz w:val="19"/>
        </w:rPr>
        <w:t>Perjanjian damai yang dilanggar oleh kaum Quraisy sehingga memicu peristiwa Fathu Makkah adalah Perjanjian...</w:t>
      </w:r>
    </w:p>
    <w:p>
      <w:pPr>
        <w:spacing w:before="0" w:after="20"/>
        <w:ind w:left="576"/>
      </w:pPr>
      <w:r>
        <w:rPr>
          <w:rFonts w:ascii="Calibri" w:hAnsi="Calibri"/>
          <w:b w:val="0"/>
          <w:i w:val="0"/>
          <w:color w:val="000000"/>
          <w:sz w:val="18"/>
        </w:rPr>
        <w:t>A. Hudaibiyah</w:t>
      </w:r>
    </w:p>
    <w:p>
      <w:pPr>
        <w:spacing w:before="0" w:after="20"/>
        <w:ind w:left="576"/>
      </w:pPr>
      <w:r>
        <w:rPr>
          <w:rFonts w:ascii="Calibri" w:hAnsi="Calibri"/>
          <w:b w:val="0"/>
          <w:i w:val="0"/>
          <w:color w:val="000000"/>
          <w:sz w:val="18"/>
        </w:rPr>
        <w:t>B. Madinah</w:t>
      </w:r>
    </w:p>
    <w:p>
      <w:pPr>
        <w:spacing w:before="0" w:after="20"/>
        <w:ind w:left="576"/>
      </w:pPr>
      <w:r>
        <w:rPr>
          <w:rFonts w:ascii="Calibri" w:hAnsi="Calibri"/>
          <w:b w:val="0"/>
          <w:i w:val="0"/>
          <w:color w:val="000000"/>
          <w:sz w:val="18"/>
        </w:rPr>
        <w:t>C. Aqabah</w:t>
      </w:r>
    </w:p>
    <w:p>
      <w:pPr>
        <w:spacing w:before="0" w:after="20"/>
        <w:ind w:left="576"/>
      </w:pPr>
      <w:r>
        <w:rPr>
          <w:rFonts w:ascii="Calibri" w:hAnsi="Calibri"/>
          <w:b w:val="0"/>
          <w:i w:val="0"/>
          <w:color w:val="000000"/>
          <w:sz w:val="18"/>
        </w:rPr>
        <w:t>D. Linggarjati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Sekutu Quraisy (Bani Bakr) menyerang sekutu muslim (Bani Khuza'ah) melanggar Perjanjian Hudaibiyah.</w:t>
      </w:r>
    </w:p>
    <w:p>
      <w:pPr>
        <w:spacing w:before="80" w:after="40"/>
        <w:ind w:left="216"/>
      </w:pPr>
      <w:r>
        <w:rPr>
          <w:rFonts w:ascii="Calibri" w:hAnsi="Calibri"/>
          <w:b/>
          <w:color w:val="000000"/>
          <w:sz w:val="19"/>
        </w:rPr>
        <w:t xml:space="preserve">5. </w:t>
      </w:r>
      <w:r>
        <w:rPr>
          <w:rFonts w:ascii="Calibri" w:hAnsi="Calibri"/>
          <w:b w:val="0"/>
          <w:i w:val="0"/>
          <w:color w:val="000000"/>
          <w:sz w:val="19"/>
        </w:rPr>
        <w:t>Pesan kesetaraan manusia dalam Khutbah Wada' menegaskan bahwa tidak ada kelebihan orang Arab atas orang non-Arab kecuali karena...</w:t>
      </w:r>
    </w:p>
    <w:p>
      <w:pPr>
        <w:spacing w:before="0" w:after="20"/>
        <w:ind w:left="576"/>
      </w:pPr>
      <w:r>
        <w:rPr>
          <w:rFonts w:ascii="Calibri" w:hAnsi="Calibri"/>
          <w:b w:val="0"/>
          <w:i w:val="0"/>
          <w:color w:val="000000"/>
          <w:sz w:val="18"/>
        </w:rPr>
        <w:t>A. Garis keturunan bangsawan</w:t>
      </w:r>
    </w:p>
    <w:p>
      <w:pPr>
        <w:spacing w:before="0" w:after="20"/>
        <w:ind w:left="576"/>
      </w:pPr>
      <w:r>
        <w:rPr>
          <w:rFonts w:ascii="Calibri" w:hAnsi="Calibri"/>
          <w:b w:val="0"/>
          <w:i w:val="0"/>
          <w:color w:val="000000"/>
          <w:sz w:val="18"/>
        </w:rPr>
        <w:t>B. Ketakwaan kepada Allah Swt.</w:t>
      </w:r>
    </w:p>
    <w:p>
      <w:pPr>
        <w:spacing w:before="0" w:after="20"/>
        <w:ind w:left="576"/>
      </w:pPr>
      <w:r>
        <w:rPr>
          <w:rFonts w:ascii="Calibri" w:hAnsi="Calibri"/>
          <w:b w:val="0"/>
          <w:i w:val="0"/>
          <w:color w:val="000000"/>
          <w:sz w:val="18"/>
        </w:rPr>
        <w:t>C. Kekayaan perniagaan</w:t>
      </w:r>
    </w:p>
    <w:p>
      <w:pPr>
        <w:spacing w:before="0" w:after="20"/>
        <w:ind w:left="576"/>
      </w:pPr>
      <w:r>
        <w:rPr>
          <w:rFonts w:ascii="Calibri" w:hAnsi="Calibri"/>
          <w:b w:val="0"/>
          <w:i w:val="0"/>
          <w:color w:val="000000"/>
          <w:sz w:val="18"/>
        </w:rPr>
        <w:t>D. Kekuatan fisik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Semua manusia setara di hadapan Allah, pembedanya semata-mata adalah ketakwaan.</w:t>
      </w:r>
    </w:p>
    <w:p>
      <w:r>
        <w:br w:type="page"/>
      </w:r>
    </w:p>
    <w:p>
      <w:pPr>
        <w:pStyle w:val="Title"/>
      </w:pPr>
      <w:r>
        <w:t>LEMBAR KERJA PESERTA DIDIK (LKPD)</w:t>
      </w:r>
    </w:p>
    <w:p>
      <w:pPr>
        <w:pStyle w:val="Subtitle"/>
      </w:pPr>
      <w:r>
        <w:t>Mata Pelajaran: Pendidikan Agama Islam dan Budi Pekerti • Bab 5: Meneladani Perjuangan Rasulullah saw. (Fathu Makkah &amp; Haji Wada')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Sebab dan Kronologi Peristiwa Fathu Makkah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pelanggaran Perjanjian Hudaibiyah oleh Quraisy dan strategi damai masuk Makkah.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Kemuliaan Sikap Pemaaf Rasulullah saw.</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Meneladani sikap pemaaf agung Rasulullah saw. terhadap Abu Sufyan dan penduduk Makkah.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Peristiwa Haji Wada' dan Khutbah Terakhir Nabi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pesan persatuan, kesetaraan hak asasi manusia, dan wasiat terakhir.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meneladani perjuangan Rasulullah saw. mengkaji dua peristiwa monumental puncak kenabian: Pembebasan Kota Makkah (Fathu Makkah tahun 8 Hijriah) dan Haji Wada' (Haji Perpisahan tahun 10 Hijriah).</w:t>
      </w:r>
    </w:p>
    <w:p>
      <w:pPr>
        <w:spacing w:before="40" w:after="60" w:line="276" w:lineRule="auto"/>
      </w:pPr>
      <w:r>
        <w:rPr>
          <w:rFonts w:ascii="Calibri" w:hAnsi="Calibri"/>
          <w:b w:val="0"/>
          <w:i w:val="0"/>
          <w:color w:val="000000"/>
          <w:sz w:val="19"/>
        </w:rPr>
        <w:t>Peserta didik meneladani kemuliaan akhlak Rasulullah saw. saat memimpin 10.000 pasukan menaklukkan Makkah tanpa pertumpahan darah, memaafkan seluruh musuh Quraisy yang dahulu menyiksa beliau, serta membersihkan 360 berhala di sekeliling Ka'bah.</w:t>
      </w:r>
    </w:p>
    <w:p>
      <w:pPr>
        <w:spacing w:before="40" w:after="60" w:line="276" w:lineRule="auto"/>
      </w:pPr>
      <w:r>
        <w:rPr>
          <w:rFonts w:ascii="Calibri" w:hAnsi="Calibri"/>
          <w:b w:val="0"/>
          <w:i w:val="0"/>
          <w:color w:val="000000"/>
          <w:sz w:val="19"/>
        </w:rPr>
        <w:t>Materi mengupas pesan universal Khutbah Wada' di Padang Arafah mengenai persamaan derajat manusia, perlindungan hak wanita, dan wasiat berpegang teguh pada Al-Qur'an dan Sunnah.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Fathu Makkah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Peristiwa pembebasan Kota Makkah oleh Rasulullah saw. dan 10.000 kaum muslimin secara damai pada tahun 8 Hijriah.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Haji Wada'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Ibadah haji terakhir yang dilaksanakan oleh Nabi Muhammad saw. sebelum beliau wafat pada tahun 10 Hijriah.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Perjanjian Hudaibiyah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Perjanjian gencatan senjata 10 tahun antara kaum muslimin Madinah dan kaum musyrikin Makkah.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Khutbah Wada'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Pidato perpisahan agung Rasulullah saw. di hadapan ratusan ribu jemaah haji di Padang Arafah.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Pemaaf (Al-'Afuw)</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Sifat mulia memaafkan kesalahan orang lain tanpa rasa dendam dan tidak membalas keburukan.</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