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SOSIAL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Sosial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Kemajemukan Masyarakat Indonesia dan Sejarah Kolonialisme</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motif penjelajahan samudra dan kedatangan bangsa Barat ke Indonesia.</w:t>
      </w:r>
    </w:p>
    <w:p>
      <w:pPr>
        <w:pStyle w:val="ListNumber"/>
      </w:pPr>
      <w:r>
        <w:rPr>
          <w:rFonts w:ascii="Calibri" w:hAnsi="Calibri"/>
          <w:b w:val="0"/>
          <w:i w:val="0"/>
          <w:color w:val="000000"/>
          <w:sz w:val="19"/>
        </w:rPr>
        <w:t>Peserta didik mampu mendeskripsikan kebijakan eksploitasi kolonial dan dampaknya bagi rakyat Indonesia.</w:t>
      </w:r>
    </w:p>
    <w:p>
      <w:pPr>
        <w:pStyle w:val="ListNumber"/>
      </w:pPr>
      <w:r>
        <w:rPr>
          <w:rFonts w:ascii="Calibri" w:hAnsi="Calibri"/>
          <w:b w:val="0"/>
          <w:i w:val="0"/>
          <w:color w:val="000000"/>
          <w:sz w:val="19"/>
        </w:rPr>
        <w:t>Peserta didik mampu mengidentifikasi tokoh pahlawan perlawanan kedaerahan dan meneladani jiwa patriotisme mereka.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pengaruh faktor geografis terhadap kemajemukan bangsa, sejarah kedatangan bangsa Barat (Portugis, Spanyol, VOC, Hindia Belanda, Inggris), perlawanan pahlawan kedaerahan, sistem tanam paksa, kerja rodi, dan lahirnya kesadaran nasional.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Daya Tarik Rempah dan Kedatangan Bangsa Barat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motif 3G (Gold, Glory, Gospel) dan kedatangan Portugis, Spanyol, serta Belanda.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Monopoli VOC dan Kebijakan Kolonial Hindia Belanda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monopoli perdagangan, devide et impera, kerja rodi Daendels, dan Cultuurstelsel.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Perlawanan Heroik Rakyat di Berbagai Daerah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Perang Diponegoro, Perang Padri, Perang Pattimura, dan Perang Aceh.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Dampak Kolonialisme dan Awal Timbulnya Kesadaran Nasional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dampak bidang ekonomi, sosial-budaya, politik, dan Politik Etis.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Semboyan penjelajahan samudra bangsa-bangsa Barat yang bermakna memburu kekayaan emas dan rempah-rempah (*Gold*), meraih kejayaan kekuasaan (*Glory*), dan menyebarkan agama (*Gospel*) dikenal dengan istilah...</w:t>
      </w:r>
    </w:p>
    <w:p>
      <w:pPr>
        <w:spacing w:before="0" w:after="20"/>
        <w:ind w:left="576"/>
      </w:pPr>
      <w:r>
        <w:rPr>
          <w:rFonts w:ascii="Calibri" w:hAnsi="Calibri"/>
          <w:b w:val="0"/>
          <w:i w:val="0"/>
          <w:color w:val="000000"/>
          <w:sz w:val="18"/>
        </w:rPr>
        <w:t>Imperialisme Modern</w:t>
      </w:r>
    </w:p>
    <w:p>
      <w:pPr>
        <w:spacing w:before="0" w:after="20"/>
        <w:ind w:left="576"/>
      </w:pPr>
      <w:r>
        <w:rPr>
          <w:rFonts w:ascii="Calibri" w:hAnsi="Calibri"/>
          <w:b w:val="0"/>
          <w:i w:val="0"/>
          <w:color w:val="000000"/>
          <w:sz w:val="18"/>
        </w:rPr>
        <w:t>Semboyan 3G (Gold, Glory, Gospel)</w:t>
      </w:r>
    </w:p>
    <w:p>
      <w:pPr>
        <w:spacing w:before="0" w:after="20"/>
        <w:ind w:left="576"/>
      </w:pPr>
      <w:r>
        <w:rPr>
          <w:rFonts w:ascii="Calibri" w:hAnsi="Calibri"/>
          <w:b w:val="0"/>
          <w:i w:val="0"/>
          <w:color w:val="000000"/>
          <w:sz w:val="18"/>
        </w:rPr>
        <w:t>Pax Neerlandica</w:t>
      </w:r>
    </w:p>
    <w:p>
      <w:pPr>
        <w:spacing w:before="0" w:after="20"/>
        <w:ind w:left="576"/>
      </w:pPr>
      <w:r>
        <w:rPr>
          <w:rFonts w:ascii="Calibri" w:hAnsi="Calibri"/>
          <w:b w:val="0"/>
          <w:i w:val="0"/>
          <w:color w:val="000000"/>
          <w:sz w:val="18"/>
        </w:rPr>
        <w:t>Hak Veto</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Semboyan 3G adalah motivasi utama bangsa Eropa menjelajah samudra: Gold (mencari kekayaan rempah), Glory (kejayaan imperium), dan Gospel (misi keagamaan).</w:t>
      </w:r>
    </w:p>
    <w:p>
      <w:pPr>
        <w:spacing w:before="80" w:after="40"/>
        <w:ind w:left="216"/>
      </w:pPr>
      <w:r>
        <w:rPr>
          <w:rFonts w:ascii="Calibri" w:hAnsi="Calibri"/>
          <w:b/>
          <w:color w:val="000000"/>
          <w:sz w:val="19"/>
        </w:rPr>
        <w:t xml:space="preserve">2. </w:t>
      </w:r>
      <w:r>
        <w:rPr>
          <w:rFonts w:ascii="Calibri" w:hAnsi="Calibri"/>
          <w:b w:val="0"/>
          <w:i w:val="0"/>
          <w:color w:val="000000"/>
          <w:sz w:val="19"/>
        </w:rPr>
        <w:t>Hak-hak istimewa setara dengan hak suatu negara merdeka yang dimiliki oleh kongsi dagang Belanda VOC (seperti hak mencetak uang dan hak memiliki tentara) disebut...</w:t>
      </w:r>
    </w:p>
    <w:p>
      <w:pPr>
        <w:spacing w:before="0" w:after="20"/>
        <w:ind w:left="576"/>
      </w:pPr>
      <w:r>
        <w:rPr>
          <w:rFonts w:ascii="Calibri" w:hAnsi="Calibri"/>
          <w:b w:val="0"/>
          <w:i w:val="0"/>
          <w:color w:val="000000"/>
          <w:sz w:val="18"/>
        </w:rPr>
        <w:t>Hak Veto</w:t>
      </w:r>
    </w:p>
    <w:p>
      <w:pPr>
        <w:spacing w:before="0" w:after="20"/>
        <w:ind w:left="576"/>
      </w:pPr>
      <w:r>
        <w:rPr>
          <w:rFonts w:ascii="Calibri" w:hAnsi="Calibri"/>
          <w:b w:val="0"/>
          <w:i w:val="0"/>
          <w:color w:val="000000"/>
          <w:sz w:val="18"/>
        </w:rPr>
        <w:t>Hak Oktrooi</w:t>
      </w:r>
    </w:p>
    <w:p>
      <w:pPr>
        <w:spacing w:before="0" w:after="20"/>
        <w:ind w:left="576"/>
      </w:pPr>
      <w:r>
        <w:rPr>
          <w:rFonts w:ascii="Calibri" w:hAnsi="Calibri"/>
          <w:b w:val="0"/>
          <w:i w:val="0"/>
          <w:color w:val="000000"/>
          <w:sz w:val="18"/>
        </w:rPr>
        <w:t>Hak Angket</w:t>
      </w:r>
    </w:p>
    <w:p>
      <w:pPr>
        <w:spacing w:before="0" w:after="20"/>
        <w:ind w:left="576"/>
      </w:pPr>
      <w:r>
        <w:rPr>
          <w:rFonts w:ascii="Calibri" w:hAnsi="Calibri"/>
          <w:b w:val="0"/>
          <w:i w:val="0"/>
          <w:color w:val="000000"/>
          <w:sz w:val="18"/>
        </w:rPr>
        <w:t>Hak Asasi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Pemerintah Belanda memberikan Hak Oktrooi (*charter rights*) kepada VOC, meliputi hak mencetak uang sendiri, memelihara tentara, menyatakan perang, dan membuat perjanjian dagang.</w:t>
      </w:r>
    </w:p>
    <w:p>
      <w:pPr>
        <w:spacing w:before="80" w:after="40"/>
        <w:ind w:left="216"/>
      </w:pPr>
      <w:r>
        <w:rPr>
          <w:rFonts w:ascii="Calibri" w:hAnsi="Calibri"/>
          <w:b/>
          <w:color w:val="000000"/>
          <w:sz w:val="19"/>
        </w:rPr>
        <w:t xml:space="preserve">3. </w:t>
      </w:r>
      <w:r>
        <w:rPr>
          <w:rFonts w:ascii="Calibri" w:hAnsi="Calibri"/>
          <w:b w:val="0"/>
          <w:i w:val="0"/>
          <w:color w:val="000000"/>
          <w:sz w:val="19"/>
        </w:rPr>
        <w:t>Kebijakan Gubernur Jenderal Johannes van den Bosch pada tahun 1830 yang mewajibkan rakyat desa menanami sebagian tanahnya dengan komoditas ekspor (kopi, tebu, nila) dinamakan...</w:t>
      </w:r>
    </w:p>
    <w:p>
      <w:pPr>
        <w:spacing w:before="0" w:after="20"/>
        <w:ind w:left="576"/>
      </w:pPr>
      <w:r>
        <w:rPr>
          <w:rFonts w:ascii="Calibri" w:hAnsi="Calibri"/>
          <w:b w:val="0"/>
          <w:i w:val="0"/>
          <w:color w:val="000000"/>
          <w:sz w:val="18"/>
        </w:rPr>
        <w:t>Sistem Sewa Tanah (*Landrent*)</w:t>
      </w:r>
    </w:p>
    <w:p>
      <w:pPr>
        <w:spacing w:before="0" w:after="20"/>
        <w:ind w:left="576"/>
      </w:pPr>
      <w:r>
        <w:rPr>
          <w:rFonts w:ascii="Calibri" w:hAnsi="Calibri"/>
          <w:b w:val="0"/>
          <w:i w:val="0"/>
          <w:color w:val="000000"/>
          <w:sz w:val="18"/>
        </w:rPr>
        <w:t>Sistem Tanam Paksa (*Cultuurstelsel*)</w:t>
      </w:r>
    </w:p>
    <w:p>
      <w:pPr>
        <w:spacing w:before="0" w:after="20"/>
        <w:ind w:left="576"/>
      </w:pPr>
      <w:r>
        <w:rPr>
          <w:rFonts w:ascii="Calibri" w:hAnsi="Calibri"/>
          <w:b w:val="0"/>
          <w:i w:val="0"/>
          <w:color w:val="000000"/>
          <w:sz w:val="18"/>
        </w:rPr>
        <w:t>Politik Pintu Terbuka</w:t>
      </w:r>
    </w:p>
    <w:p>
      <w:pPr>
        <w:spacing w:before="0" w:after="20"/>
        <w:ind w:left="576"/>
      </w:pPr>
      <w:r>
        <w:rPr>
          <w:rFonts w:ascii="Calibri" w:hAnsi="Calibri"/>
          <w:b w:val="0"/>
          <w:i w:val="0"/>
          <w:color w:val="000000"/>
          <w:sz w:val="18"/>
        </w:rPr>
        <w:t>Kerja Rodi Daendels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Cultuurstelsel (Sistem Tanam Paksa) diterapkan untuk mengisi kas negeri Belanda yang kosong akibat Perang Jawa dan Perang Belgia.</w:t>
      </w:r>
    </w:p>
    <w:p>
      <w:pPr>
        <w:spacing w:before="80" w:after="40"/>
        <w:ind w:left="216"/>
      </w:pPr>
      <w:r>
        <w:rPr>
          <w:rFonts w:ascii="Calibri" w:hAnsi="Calibri"/>
          <w:b/>
          <w:color w:val="000000"/>
          <w:sz w:val="19"/>
        </w:rPr>
        <w:t xml:space="preserve">4. </w:t>
      </w:r>
      <w:r>
        <w:rPr>
          <w:rFonts w:ascii="Calibri" w:hAnsi="Calibri"/>
          <w:b w:val="0"/>
          <w:i w:val="0"/>
          <w:color w:val="000000"/>
          <w:sz w:val="19"/>
        </w:rPr>
        <w:t>Perang besar di pulau Jawa pada kurun waktu 1825–1830 yang sangat menguras kas keuangan kolonial Belanda dipimpin oleh pahlawan nasional...</w:t>
      </w:r>
    </w:p>
    <w:p>
      <w:pPr>
        <w:spacing w:before="0" w:after="20"/>
        <w:ind w:left="576"/>
      </w:pPr>
      <w:r>
        <w:rPr>
          <w:rFonts w:ascii="Calibri" w:hAnsi="Calibri"/>
          <w:b w:val="0"/>
          <w:i w:val="0"/>
          <w:color w:val="000000"/>
          <w:sz w:val="18"/>
        </w:rPr>
        <w:t>Sultan Hasanuddin</w:t>
      </w:r>
    </w:p>
    <w:p>
      <w:pPr>
        <w:spacing w:before="0" w:after="20"/>
        <w:ind w:left="576"/>
      </w:pPr>
      <w:r>
        <w:rPr>
          <w:rFonts w:ascii="Calibri" w:hAnsi="Calibri"/>
          <w:b w:val="0"/>
          <w:i w:val="0"/>
          <w:color w:val="000000"/>
          <w:sz w:val="18"/>
        </w:rPr>
        <w:t>Pangeran Diponegoro</w:t>
      </w:r>
    </w:p>
    <w:p>
      <w:pPr>
        <w:spacing w:before="0" w:after="20"/>
        <w:ind w:left="576"/>
      </w:pPr>
      <w:r>
        <w:rPr>
          <w:rFonts w:ascii="Calibri" w:hAnsi="Calibri"/>
          <w:b w:val="0"/>
          <w:i w:val="0"/>
          <w:color w:val="000000"/>
          <w:sz w:val="18"/>
        </w:rPr>
        <w:t>Tuanku Imam Bonjol</w:t>
      </w:r>
    </w:p>
    <w:p>
      <w:pPr>
        <w:spacing w:before="0" w:after="20"/>
        <w:ind w:left="576"/>
      </w:pPr>
      <w:r>
        <w:rPr>
          <w:rFonts w:ascii="Calibri" w:hAnsi="Calibri"/>
          <w:b w:val="0"/>
          <w:i w:val="0"/>
          <w:color w:val="000000"/>
          <w:sz w:val="18"/>
        </w:rPr>
        <w:t>Sultan Ageng Tirtayasa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Perang Diponegoro (Perang Jawa 1825–1830) dipimpin Pangeran Diponegoro dengan taktik perang gerilya yang melumpuhkan pasukan kolonial Belanda.</w:t>
      </w:r>
    </w:p>
    <w:p>
      <w:pPr>
        <w:spacing w:before="80" w:after="40"/>
        <w:ind w:left="216"/>
      </w:pPr>
      <w:r>
        <w:rPr>
          <w:rFonts w:ascii="Calibri" w:hAnsi="Calibri"/>
          <w:b/>
          <w:color w:val="000000"/>
          <w:sz w:val="19"/>
        </w:rPr>
        <w:t xml:space="preserve">5. </w:t>
      </w:r>
      <w:r>
        <w:rPr>
          <w:rFonts w:ascii="Calibri" w:hAnsi="Calibri"/>
          <w:b w:val="0"/>
          <w:i w:val="0"/>
          <w:color w:val="000000"/>
          <w:sz w:val="19"/>
        </w:rPr>
        <w:t>Tiga program utama dalam kebijakan Politik Etis (Politik Balas Budi) yang dicetuskan oleh C. Th. van Deventer adalah...</w:t>
      </w:r>
    </w:p>
    <w:p>
      <w:pPr>
        <w:spacing w:before="0" w:after="20"/>
        <w:ind w:left="576"/>
      </w:pPr>
      <w:r>
        <w:rPr>
          <w:rFonts w:ascii="Calibri" w:hAnsi="Calibri"/>
          <w:b w:val="0"/>
          <w:i w:val="0"/>
          <w:color w:val="000000"/>
          <w:sz w:val="18"/>
        </w:rPr>
        <w:t>Edukasi, Irigasi, dan Emigrasi (Transmigrasi)</w:t>
      </w:r>
    </w:p>
    <w:p>
      <w:pPr>
        <w:spacing w:before="0" w:after="20"/>
        <w:ind w:left="576"/>
      </w:pPr>
      <w:r>
        <w:rPr>
          <w:rFonts w:ascii="Calibri" w:hAnsi="Calibri"/>
          <w:b w:val="0"/>
          <w:i w:val="0"/>
          <w:color w:val="000000"/>
          <w:sz w:val="18"/>
        </w:rPr>
        <w:t>Monopoli, Militerisasi, dan Kolonisasi</w:t>
      </w:r>
    </w:p>
    <w:p>
      <w:pPr>
        <w:spacing w:before="0" w:after="20"/>
        <w:ind w:left="576"/>
      </w:pPr>
      <w:r>
        <w:rPr>
          <w:rFonts w:ascii="Calibri" w:hAnsi="Calibri"/>
          <w:b w:val="0"/>
          <w:i w:val="0"/>
          <w:color w:val="000000"/>
          <w:sz w:val="18"/>
        </w:rPr>
        <w:t>Ekspor, Impor, dan Investasi</w:t>
      </w:r>
    </w:p>
    <w:p>
      <w:pPr>
        <w:spacing w:before="0" w:after="20"/>
        <w:ind w:left="576"/>
      </w:pPr>
      <w:r>
        <w:rPr>
          <w:rFonts w:ascii="Calibri" w:hAnsi="Calibri"/>
          <w:b w:val="0"/>
          <w:i w:val="0"/>
          <w:color w:val="000000"/>
          <w:sz w:val="18"/>
        </w:rPr>
        <w:t>Pajak, Kerja Rodi, dan Tanam Paksa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Trilogi Van Deventer memuat: Edukasi (pendidikan formal yang melahirkan kaum terpelajar pribumi), Irigasi (pengairan sawah), dan Emigrasi (perpindahan penduduk).</w:t>
      </w:r>
    </w:p>
    <w:p>
      <w:r>
        <w:br w:type="page"/>
      </w:r>
    </w:p>
    <w:p>
      <w:pPr>
        <w:pStyle w:val="Title"/>
      </w:pPr>
      <w:r>
        <w:t>LEMBAR KERJA PESERTA DIDIK (LKPD)</w:t>
      </w:r>
    </w:p>
    <w:p>
      <w:pPr>
        <w:pStyle w:val="Subtitle"/>
      </w:pPr>
      <w:r>
        <w:t>Mata Pelajaran: Ilmu Pengetahuan Sosial • Bab 2: Kemajemukan Masyarakat Indonesia dan Sejarah Kolonialisme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Daya Tarik Rempah dan Kedatangan Bangsa Barat</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motif 3G (Gold, Glory, Gospel) dan kedatangan Portugis, Spanyol, serta Belanda.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Monopoli VOC dan Kebijakan Kolonial Hindia Belanda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monopoli perdagangan, devide et impera, kerja rodi Daendels, dan Cultuurstelsel.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Perlawanan Heroik Rakyat di Berbagai Daerah</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Perang Diponegoro, Perang Padri, Perang Pattimura, dan Perang Aceh.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Dampak Kolonialisme dan Awal Timbulnya Kesadaran Nasional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dampak bidang ekonomi, sosial-budaya, politik, dan Politik Etis.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Daya tarik kekayaan rempah-rempah Nusantara memicu penjelajahan samudra bangsa-bangsa Barat (Portugis, Spanyol, Belanda, dan Inggris) pada abad ke-16 dengan semboyan *Gold, Glory, Gospel* (3G). Penjelajahan ini berkembang menjadi praktik kolonialisme dan imperialisme yang menindas bangsa Indonesia.</w:t>
      </w:r>
    </w:p>
    <w:p>
      <w:pPr>
        <w:spacing w:before="40" w:after="60" w:line="276" w:lineRule="auto"/>
      </w:pPr>
      <w:r>
        <w:rPr>
          <w:rFonts w:ascii="Calibri" w:hAnsi="Calibri"/>
          <w:b w:val="0"/>
          <w:i w:val="0"/>
          <w:color w:val="000000"/>
          <w:sz w:val="19"/>
        </w:rPr>
        <w:t>Kongsi dagang Belanda VOC (*Vereenigde Oostindische Compagnie*) menerapkan monopoli perdagangan rempah, pelayaran hongi, dan taktik adu domba (*devide et impera*). Kebijakan kolonial dilanjutkan dengan kerja paksa (*rodi*) di era Daendels serta Sistem Tanam Paksa (*Cultuurstelsel*) oleh Van den Bosch yang menyengsarakan rakyat pribumi.</w:t>
      </w:r>
    </w:p>
    <w:p>
      <w:pPr>
        <w:spacing w:before="40" w:after="60" w:line="276" w:lineRule="auto"/>
      </w:pPr>
      <w:r>
        <w:rPr>
          <w:rFonts w:ascii="Calibri" w:hAnsi="Calibri"/>
          <w:b w:val="0"/>
          <w:i w:val="0"/>
          <w:color w:val="000000"/>
          <w:sz w:val="19"/>
        </w:rPr>
        <w:t>Penindasan kolonial memicu gelombang perlawanan heroik di berbagai daerah yang dipimpin oleh Sultan Hasanuddin, Pattimura, Pangeran Diponegoro, Tuanku Imam Bonjol, dan Teuku Umar. Perlawanan yang semula bersifat kedaerahan dan tergantung pada figur pemimpin melahirkan kesadaran baru tentang pentingnya persatuan nasional.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Kolonialisme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Paham mengenai penguasaan suatu wilayah dan eksploitasi sumber daya rakyatnya oleh negara penguasa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Cultuurstelsel (Tanam Paksa)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Kebijakan Gubernur Jenderal Van den Bosch (1830) yang mewajibkan petani menanam tanaman komoditas ekspor di tanahnya untuk diserahkan ke pemerintah kolonial.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Devide et Impera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Politik pecah belah dan adu domba yang diterapkan penjajah untuk melemahkan kerajaan-kerajaan lokal di Nusantara.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Kerja Rodi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Kerja paksa tanpa upah yang diwajibkan kepada rakyat pribumi pada masa pemerintahan Gubernur Jenderal Daendels (seperti pembangunan Jalan Raya Pos Anyer-Panarukan).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Politik Etis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Kebijakan politik balas budi pemerintah kolonial Belanda pada awal abad ke-20 yang memuat tiga program: Irigasi, Edukasi, dan Transmigrasi.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Sosial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