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Pemberdayaan Masyarakat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menghargai keberagaman sosial budaya dan mengidentifikasi saluran mobilitas sosial.</w:t>
      </w:r>
    </w:p>
    <w:p>
      <w:pPr>
        <w:pStyle w:val="ListNumber"/>
      </w:pPr>
      <w:r>
        <w:rPr>
          <w:rFonts w:ascii="Calibri" w:hAnsi="Calibri"/>
          <w:b w:val="0"/>
          <w:i w:val="0"/>
          <w:color w:val="000000"/>
          <w:sz w:val="19"/>
        </w:rPr>
        <w:t>Peserta didik mampu menerapkan prinsip literasi keuangan dalam menyusun anggaran kebutuhan pribadi dan keluarga.</w:t>
      </w:r>
    </w:p>
    <w:p>
      <w:pPr>
        <w:pStyle w:val="ListNumber"/>
      </w:pPr>
      <w:r>
        <w:rPr>
          <w:rFonts w:ascii="Calibri" w:hAnsi="Calibri"/>
          <w:b w:val="0"/>
          <w:i w:val="0"/>
          <w:color w:val="000000"/>
          <w:sz w:val="19"/>
        </w:rPr>
        <w:t>Peserta didik mampu merancang ide pemberdayaan komunitas lokal sederhana berbasis potensi wilayah sekitar.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keragaman sosial budaya bangsa, mobilitas sosial, literasi keuangan keluarga (pengelolaan uang, tabungan, dan investasi sederhana), serta pemberdayaan komunitas lokal.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Keberagaman Sosial Budaya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Menghargai warisan budaya daerah dan mengelola kemajemukan 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Mobilitas Sosial dan Saluran-salurannya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mobilitas vertikal naik/turun dan mobilitas horizontal dalam 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Literasi Keuangan dan Pengelolaan Anggaran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skala prioritas pengeluaran, menabung, dan mengenal lembaga keuangan perbankan.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Pemberdayaan Ekonomi Komunitas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 UMKM, koperasi desa, dan komunitas kreatif dalam kemandirian ekonomi.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anak petani desa berhasil menyelesaikan pendidikan sarjana kedokteran dan kini bekerja sebagai dokter spesialis di rumah sakit umum daerah. Peristiwa ini merupakan contoh dari...</w:t>
      </w:r>
    </w:p>
    <w:p>
      <w:pPr>
        <w:spacing w:before="0" w:after="20"/>
        <w:ind w:left="576"/>
      </w:pPr>
      <w:r>
        <w:rPr>
          <w:rFonts w:ascii="Calibri" w:hAnsi="Calibri"/>
          <w:b w:val="0"/>
          <w:i w:val="0"/>
          <w:color w:val="000000"/>
          <w:sz w:val="18"/>
        </w:rPr>
        <w:t>Mobilitas horizontal</w:t>
      </w:r>
    </w:p>
    <w:p>
      <w:pPr>
        <w:spacing w:before="0" w:after="20"/>
        <w:ind w:left="576"/>
      </w:pPr>
      <w:r>
        <w:rPr>
          <w:rFonts w:ascii="Calibri" w:hAnsi="Calibri"/>
          <w:b w:val="0"/>
          <w:i w:val="0"/>
          <w:color w:val="000000"/>
          <w:sz w:val="18"/>
        </w:rPr>
        <w:t>Mobilitas vertikal naik (*social climbing*)</w:t>
      </w:r>
    </w:p>
    <w:p>
      <w:pPr>
        <w:spacing w:before="0" w:after="20"/>
        <w:ind w:left="576"/>
      </w:pPr>
      <w:r>
        <w:rPr>
          <w:rFonts w:ascii="Calibri" w:hAnsi="Calibri"/>
          <w:b w:val="0"/>
          <w:i w:val="0"/>
          <w:color w:val="000000"/>
          <w:sz w:val="18"/>
        </w:rPr>
        <w:t>Mobilitas vertikal turun (*social sinking*)</w:t>
      </w:r>
    </w:p>
    <w:p>
      <w:pPr>
        <w:spacing w:before="0" w:after="20"/>
        <w:ind w:left="576"/>
      </w:pPr>
      <w:r>
        <w:rPr>
          <w:rFonts w:ascii="Calibri" w:hAnsi="Calibri"/>
          <w:b w:val="0"/>
          <w:i w:val="0"/>
          <w:color w:val="000000"/>
          <w:sz w:val="18"/>
        </w:rPr>
        <w:t>Mobilitas antargenerasi turun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Keberhasilan meraih profesi dokter dari latar belakang keluarga petani mencerminkan peningkatan status sosial ekonomi ke jenjang yang lebih tinggi (*social climbing*) melalui saluran pendidikan.</w:t>
      </w:r>
    </w:p>
    <w:p>
      <w:pPr>
        <w:spacing w:before="80" w:after="40"/>
        <w:ind w:left="216"/>
      </w:pPr>
      <w:r>
        <w:rPr>
          <w:rFonts w:ascii="Calibri" w:hAnsi="Calibri"/>
          <w:b/>
          <w:color w:val="000000"/>
          <w:sz w:val="19"/>
        </w:rPr>
        <w:t xml:space="preserve">2. </w:t>
      </w:r>
      <w:r>
        <w:rPr>
          <w:rFonts w:ascii="Calibri" w:hAnsi="Calibri"/>
          <w:b w:val="0"/>
          <w:i w:val="0"/>
          <w:color w:val="000000"/>
          <w:sz w:val="19"/>
        </w:rPr>
        <w:t>Seorang guru dipindahtugaskan mengajar dari SMP Negeri 1 ke SMP Negeri 3 di kota yang sama dengan jabatan dan golongan pangkat yang tetap sama. Guru tersebut mengalami...</w:t>
      </w:r>
    </w:p>
    <w:p>
      <w:pPr>
        <w:spacing w:before="0" w:after="20"/>
        <w:ind w:left="576"/>
      </w:pPr>
      <w:r>
        <w:rPr>
          <w:rFonts w:ascii="Calibri" w:hAnsi="Calibri"/>
          <w:b w:val="0"/>
          <w:i w:val="0"/>
          <w:color w:val="000000"/>
          <w:sz w:val="18"/>
        </w:rPr>
        <w:t>Mobilitas horizontal</w:t>
      </w:r>
    </w:p>
    <w:p>
      <w:pPr>
        <w:spacing w:before="0" w:after="20"/>
        <w:ind w:left="576"/>
      </w:pPr>
      <w:r>
        <w:rPr>
          <w:rFonts w:ascii="Calibri" w:hAnsi="Calibri"/>
          <w:b w:val="0"/>
          <w:i w:val="0"/>
          <w:color w:val="000000"/>
          <w:sz w:val="18"/>
        </w:rPr>
        <w:t>Mobilitas vertikal naik</w:t>
      </w:r>
    </w:p>
    <w:p>
      <w:pPr>
        <w:spacing w:before="0" w:after="20"/>
        <w:ind w:left="576"/>
      </w:pPr>
      <w:r>
        <w:rPr>
          <w:rFonts w:ascii="Calibri" w:hAnsi="Calibri"/>
          <w:b w:val="0"/>
          <w:i w:val="0"/>
          <w:color w:val="000000"/>
          <w:sz w:val="18"/>
        </w:rPr>
        <w:t>Mobilitas vertikal turun</w:t>
      </w:r>
    </w:p>
    <w:p>
      <w:pPr>
        <w:spacing w:before="0" w:after="20"/>
        <w:ind w:left="576"/>
      </w:pPr>
      <w:r>
        <w:rPr>
          <w:rFonts w:ascii="Calibri" w:hAnsi="Calibri"/>
          <w:b w:val="0"/>
          <w:i w:val="0"/>
          <w:color w:val="000000"/>
          <w:sz w:val="18"/>
        </w:rPr>
        <w:t>Mobilitas intragenerasi vertikal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Mobilitas horizontal terjadi ketika seseorang berpindah tempat atau tugas tanpa mengalami perubahan tingkat derajat status atau kedudukan sosial.</w:t>
      </w:r>
    </w:p>
    <w:p>
      <w:pPr>
        <w:spacing w:before="80" w:after="40"/>
        <w:ind w:left="216"/>
      </w:pPr>
      <w:r>
        <w:rPr>
          <w:rFonts w:ascii="Calibri" w:hAnsi="Calibri"/>
          <w:b/>
          <w:color w:val="000000"/>
          <w:sz w:val="19"/>
        </w:rPr>
        <w:t xml:space="preserve">3. </w:t>
      </w:r>
      <w:r>
        <w:rPr>
          <w:rFonts w:ascii="Calibri" w:hAnsi="Calibri"/>
          <w:b w:val="0"/>
          <w:i w:val="0"/>
          <w:color w:val="000000"/>
          <w:sz w:val="19"/>
        </w:rPr>
        <w:t>Langkah pertama yang paling bijak dalam mengelola keuangan pribadi berdasarkan prinsip literasi keuangan adalah...</w:t>
      </w:r>
    </w:p>
    <w:p>
      <w:pPr>
        <w:spacing w:before="0" w:after="20"/>
        <w:ind w:left="576"/>
      </w:pPr>
      <w:r>
        <w:rPr>
          <w:rFonts w:ascii="Calibri" w:hAnsi="Calibri"/>
          <w:b w:val="0"/>
          <w:i w:val="0"/>
          <w:color w:val="000000"/>
          <w:sz w:val="18"/>
        </w:rPr>
        <w:t>Membeli seluruh barang yang sedang diskon di toko</w:t>
      </w:r>
    </w:p>
    <w:p>
      <w:pPr>
        <w:spacing w:before="0" w:after="20"/>
        <w:ind w:left="576"/>
      </w:pPr>
      <w:r>
        <w:rPr>
          <w:rFonts w:ascii="Calibri" w:hAnsi="Calibri"/>
          <w:b w:val="0"/>
          <w:i w:val="0"/>
          <w:color w:val="000000"/>
          <w:sz w:val="18"/>
        </w:rPr>
        <w:t>Menyusun skala prioritas kebutuhan dan menyisihkan tabungan di awal</w:t>
      </w:r>
    </w:p>
    <w:p>
      <w:pPr>
        <w:spacing w:before="0" w:after="20"/>
        <w:ind w:left="576"/>
      </w:pPr>
      <w:r>
        <w:rPr>
          <w:rFonts w:ascii="Calibri" w:hAnsi="Calibri"/>
          <w:b w:val="0"/>
          <w:i w:val="0"/>
          <w:color w:val="000000"/>
          <w:sz w:val="18"/>
        </w:rPr>
        <w:t>Meminjam uang untuk memenuhi kebutuhan gaya hidup</w:t>
      </w:r>
    </w:p>
    <w:p>
      <w:pPr>
        <w:spacing w:before="0" w:after="20"/>
        <w:ind w:left="576"/>
      </w:pPr>
      <w:r>
        <w:rPr>
          <w:rFonts w:ascii="Calibri" w:hAnsi="Calibri"/>
          <w:b w:val="0"/>
          <w:i w:val="0"/>
          <w:color w:val="000000"/>
          <w:sz w:val="18"/>
        </w:rPr>
        <w:t>Menghabiskan seluruh uang saku untuk hiburan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Perencanaan keuangan yang sehat diawali dengan menyusun skala prioritas (membedakan kebutuhan dari keinginan) serta mendahulukan alokasi tabungan sebelum membelanjakan sisa anggaran.</w:t>
      </w:r>
    </w:p>
    <w:p>
      <w:pPr>
        <w:spacing w:before="80" w:after="40"/>
        <w:ind w:left="216"/>
      </w:pPr>
      <w:r>
        <w:rPr>
          <w:rFonts w:ascii="Calibri" w:hAnsi="Calibri"/>
          <w:b/>
          <w:color w:val="000000"/>
          <w:sz w:val="19"/>
        </w:rPr>
        <w:t xml:space="preserve">4. </w:t>
      </w:r>
      <w:r>
        <w:rPr>
          <w:rFonts w:ascii="Calibri" w:hAnsi="Calibri"/>
          <w:b w:val="0"/>
          <w:i w:val="0"/>
          <w:color w:val="000000"/>
          <w:sz w:val="19"/>
        </w:rPr>
        <w:t>Lembaga keuangan bank yang bertugas menjaga kestabilan nilai rupiah, menetapkan kebijakan moneter, dan mengatur kelancaran sistem pembayaran di Indonesia adalah...</w:t>
      </w:r>
    </w:p>
    <w:p>
      <w:pPr>
        <w:spacing w:before="0" w:after="20"/>
        <w:ind w:left="576"/>
      </w:pPr>
      <w:r>
        <w:rPr>
          <w:rFonts w:ascii="Calibri" w:hAnsi="Calibri"/>
          <w:b w:val="0"/>
          <w:i w:val="0"/>
          <w:color w:val="000000"/>
          <w:sz w:val="18"/>
        </w:rPr>
        <w:t>Bank Perkreditan Rakyat (BPR)</w:t>
      </w:r>
    </w:p>
    <w:p>
      <w:pPr>
        <w:spacing w:before="0" w:after="20"/>
        <w:ind w:left="576"/>
      </w:pPr>
      <w:r>
        <w:rPr>
          <w:rFonts w:ascii="Calibri" w:hAnsi="Calibri"/>
          <w:b w:val="0"/>
          <w:i w:val="0"/>
          <w:color w:val="000000"/>
          <w:sz w:val="18"/>
        </w:rPr>
        <w:t>Bank Indonesia (Bank Sentral)</w:t>
      </w:r>
    </w:p>
    <w:p>
      <w:pPr>
        <w:spacing w:before="0" w:after="20"/>
        <w:ind w:left="576"/>
      </w:pPr>
      <w:r>
        <w:rPr>
          <w:rFonts w:ascii="Calibri" w:hAnsi="Calibri"/>
          <w:b w:val="0"/>
          <w:i w:val="0"/>
          <w:color w:val="000000"/>
          <w:sz w:val="18"/>
        </w:rPr>
        <w:t>Bank Umum Swasta</w:t>
      </w:r>
    </w:p>
    <w:p>
      <w:pPr>
        <w:spacing w:before="0" w:after="20"/>
        <w:ind w:left="576"/>
      </w:pPr>
      <w:r>
        <w:rPr>
          <w:rFonts w:ascii="Calibri" w:hAnsi="Calibri"/>
          <w:b w:val="0"/>
          <w:i w:val="0"/>
          <w:color w:val="000000"/>
          <w:sz w:val="18"/>
        </w:rPr>
        <w:t>Koperasi Simpan Pinjam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Bank Indonesia adalah bank sentral Republik Indonesia yang memiliki wewenang independen untuk mencapai dan memelihara kestabilan nilai rupiah serta mengatur sistem perbankan nasional.</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program pemberdayaan masyarakat melalui pembentukan koperasi dan UMKM di tingkat desa adalah...</w:t>
      </w:r>
    </w:p>
    <w:p>
      <w:pPr>
        <w:spacing w:before="0" w:after="20"/>
        <w:ind w:left="576"/>
      </w:pPr>
      <w:r>
        <w:rPr>
          <w:rFonts w:ascii="Calibri" w:hAnsi="Calibri"/>
          <w:b w:val="0"/>
          <w:i w:val="0"/>
          <w:color w:val="000000"/>
          <w:sz w:val="18"/>
        </w:rPr>
        <w:t>Meningkatkan ketergantungan masyarakat pada bantuan dana pemerintah</w:t>
      </w:r>
    </w:p>
    <w:p>
      <w:pPr>
        <w:spacing w:before="0" w:after="20"/>
        <w:ind w:left="576"/>
      </w:pPr>
      <w:r>
        <w:rPr>
          <w:rFonts w:ascii="Calibri" w:hAnsi="Calibri"/>
          <w:b w:val="0"/>
          <w:i w:val="0"/>
          <w:color w:val="000000"/>
          <w:sz w:val="18"/>
        </w:rPr>
        <w:t>Mendorong kemandirian ekonomi dan meningkatkan kesejahteraan warga secara berkelanjutan</w:t>
      </w:r>
    </w:p>
    <w:p>
      <w:pPr>
        <w:spacing w:before="0" w:after="20"/>
        <w:ind w:left="576"/>
      </w:pPr>
      <w:r>
        <w:rPr>
          <w:rFonts w:ascii="Calibri" w:hAnsi="Calibri"/>
          <w:b w:val="0"/>
          <w:i w:val="0"/>
          <w:color w:val="000000"/>
          <w:sz w:val="18"/>
        </w:rPr>
        <w:t>Menghilangkan seluruh sektor usaha swasta besar</w:t>
      </w:r>
    </w:p>
    <w:p>
      <w:pPr>
        <w:spacing w:before="0" w:after="20"/>
        <w:ind w:left="576"/>
      </w:pPr>
      <w:r>
        <w:rPr>
          <w:rFonts w:ascii="Calibri" w:hAnsi="Calibri"/>
          <w:b w:val="0"/>
          <w:i w:val="0"/>
          <w:color w:val="000000"/>
          <w:sz w:val="18"/>
        </w:rPr>
        <w:t>Menyeragamkan jenis mata pencaharian seluruh warga desa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Pemberdayaan ekonomi bertujuan membangun daya saing, memperluas kesempatan kerja, dan memandirikan warga secara finansial melalui pemanfaatan potensi lokal secara berkesinambungan.</w:t>
      </w:r>
    </w:p>
    <w:p>
      <w:r>
        <w:br w:type="page"/>
      </w:r>
    </w:p>
    <w:p>
      <w:pPr>
        <w:pStyle w:val="Title"/>
      </w:pPr>
      <w:r>
        <w:t>LEMBAR KERJA PESERTA DIDIK (LKPD)</w:t>
      </w:r>
    </w:p>
    <w:p>
      <w:pPr>
        <w:pStyle w:val="Subtitle"/>
      </w:pPr>
      <w:r>
        <w:t>Mata Pelajaran: Ilmu Pengetahuan Sosial • Bab 4: Pemberdayaan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Keberagaman Sosial Budaya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Menghargai warisan budaya daerah dan mengelola kemajemukan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Mobilitas Sosial dan Saluran-salurannya</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mobilitas vertikal naik/turun dan mobilitas horizontal dalam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Literasi Keuangan dan Pengelolaan Anggaran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skala prioritas pengeluaran, menabung, dan mengenal lembaga keuangan perbankan.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Pemberdayaan Ekonomi Komunitas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 UMKM, koperasi desa, dan komunitas kreatif dalam kemandirian ekonomi.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Keberagaman sosial budaya Indonesia merupakan kekayaan nasional yang tercermin dalam keberagaman bahasa daerah, rumah adat, tarian tradisional, dan sistem kekerabatan. Penguatan toleransi multikultural mencegah konflik horizontal dan memperkokoh integrasi kebangsaan.</w:t>
      </w:r>
    </w:p>
    <w:p>
      <w:pPr>
        <w:spacing w:before="40" w:after="60" w:line="276" w:lineRule="auto"/>
      </w:pPr>
      <w:r>
        <w:rPr>
          <w:rFonts w:ascii="Calibri" w:hAnsi="Calibri"/>
          <w:b w:val="0"/>
          <w:i w:val="0"/>
          <w:color w:val="000000"/>
          <w:sz w:val="19"/>
        </w:rPr>
        <w:t>Mobilitas sosial menjelaskan pergerakan status sosial individu atau kelompok dalam stratifikasi masyarakat, baik mobilitas vertikal (naik atau turun) maupun mobilitas horizontal antarposisi sederajat. Pendidikan formal dan kewirausahaan menjadi saluran utama mobilitas sosial vertikal naik.</w:t>
      </w:r>
    </w:p>
    <w:p>
      <w:pPr>
        <w:spacing w:before="40" w:after="60" w:line="276" w:lineRule="auto"/>
      </w:pPr>
      <w:r>
        <w:rPr>
          <w:rFonts w:ascii="Calibri" w:hAnsi="Calibri"/>
          <w:b w:val="0"/>
          <w:i w:val="0"/>
          <w:color w:val="000000"/>
          <w:sz w:val="19"/>
        </w:rPr>
        <w:t>Pemberdayaan masyarakat menuntut peningkatan literasi keuangan keluarga untuk mengelola pendapatan secara terencana, membedakan kebutuhan primer dengan keinginan konsumtif, serta memanfaatkan lembaga keuangan formal secara bijak demi kemandirian ekonomi masyarakat.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Mobilitas Vertikal Naik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Perpindahan kedudukan sosial seseorang dari kelas sosial yang lebih rendah ke kelas sosial yang lebih tinggi (*social climbing*).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Mobilitas Horizontal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Perpindahan status individu ke posisi atau kelompok sosial lain yang memiliki derajat kedudukan yang sama setara.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Literasi Keuangan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Pengetahuan dan keterampilan untuk membuat keputusan keuangan yang efektif, terencana, dan bertanggung jawab.</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Koperasi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usaha yang beranggotakan orang-seorang atau badan hukum koperasi dengan melandaskan kegiatannya berdasar prinsip kekeluargaan.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Skala Prioritas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Urutan daftar kebutuhan yang disusun berdasarkan tingkat kepentingan dan urgensi yang harus dipenuhi terlebih dahulu.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