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Keberagaman Lingkungan Sekitar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hubungan antara karakteristik bentang alam dengan pola aktivitas masyarakat.</w:t>
      </w:r>
    </w:p>
    <w:p>
      <w:pPr>
        <w:pStyle w:val="ListNumber"/>
      </w:pPr>
      <w:r>
        <w:rPr>
          <w:rFonts w:ascii="Calibri" w:hAnsi="Calibri"/>
          <w:b w:val="0"/>
          <w:i w:val="0"/>
          <w:color w:val="000000"/>
          <w:sz w:val="19"/>
        </w:rPr>
        <w:t>Peserta didik mampu menjelaskan periodisasi dan nilai kebudayaan masyarakat Indonesia pada masa praaksara.</w:t>
      </w:r>
    </w:p>
    <w:p>
      <w:pPr>
        <w:pStyle w:val="ListNumber"/>
      </w:pPr>
      <w:r>
        <w:rPr>
          <w:rFonts w:ascii="Calibri" w:hAnsi="Calibri"/>
          <w:b w:val="0"/>
          <w:i w:val="0"/>
          <w:color w:val="000000"/>
          <w:sz w:val="19"/>
        </w:rPr>
        <w:t>Peserta didik mampu merumuskan upaya pencegahan pencemaran lingkungan hidup dengan memanfaatkan kearifan lokal.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interaksi manusia dengan bentang alam sekitar, perubahan potensi sumber daya alam, pencemaran lingkungan hidup, dinamika sosial budaya masa praaksara, dan pelestarian kearifan lokal.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Interaksi Manusia dan Bentang Alam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adaptasi aktivitas ekonomi masyarakat pesisir, dataran rendah, dan pegunungan.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Kehidupan Masyarakat Masa Praaksara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Menelusuri corak kehidupan berburu, bercocok tanam, perundagian, dan peninggalan megalitikum.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Potensi Sumber Daya Alam dan Pencemaran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sumber daya hayati/nonhayati serta dampak kerusakan lingkungan hidup.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Pelestarian Lingkungan Berbasis Kearifan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sistem subak, hutan larangan, dan tradisi lokal dalam konservasi alam.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Corak kehidupan masyarakat praaksara yang ditandai dengan pembagian kerja kelompok terampil dalam membuat alat-alat dari perunggu dan besi adalah...</w:t>
      </w:r>
    </w:p>
    <w:p>
      <w:pPr>
        <w:spacing w:before="0" w:after="20"/>
        <w:ind w:left="576"/>
      </w:pPr>
      <w:r>
        <w:rPr>
          <w:rFonts w:ascii="Calibri" w:hAnsi="Calibri"/>
          <w:b w:val="0"/>
          <w:i w:val="0"/>
          <w:color w:val="000000"/>
          <w:sz w:val="18"/>
        </w:rPr>
        <w:t>Masa berburu dan meramu tingkat sederhana</w:t>
      </w:r>
    </w:p>
    <w:p>
      <w:pPr>
        <w:spacing w:before="0" w:after="20"/>
        <w:ind w:left="576"/>
      </w:pPr>
      <w:r>
        <w:rPr>
          <w:rFonts w:ascii="Calibri" w:hAnsi="Calibri"/>
          <w:b w:val="0"/>
          <w:i w:val="0"/>
          <w:color w:val="000000"/>
          <w:sz w:val="18"/>
        </w:rPr>
        <w:t>Masa bercocok tanam</w:t>
      </w:r>
    </w:p>
    <w:p>
      <w:pPr>
        <w:spacing w:before="0" w:after="20"/>
        <w:ind w:left="576"/>
      </w:pPr>
      <w:r>
        <w:rPr>
          <w:rFonts w:ascii="Calibri" w:hAnsi="Calibri"/>
          <w:b w:val="0"/>
          <w:i w:val="0"/>
          <w:color w:val="000000"/>
          <w:sz w:val="18"/>
        </w:rPr>
        <w:t>Masa berburu dan meramu tingkat lanjut</w:t>
      </w:r>
    </w:p>
    <w:p>
      <w:pPr>
        <w:spacing w:before="0" w:after="20"/>
        <w:ind w:left="576"/>
      </w:pPr>
      <w:r>
        <w:rPr>
          <w:rFonts w:ascii="Calibri" w:hAnsi="Calibri"/>
          <w:b w:val="0"/>
          <w:i w:val="0"/>
          <w:color w:val="000000"/>
          <w:sz w:val="18"/>
        </w:rPr>
        <w:t>Masa perundagian</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Masa perundagian (*undagi* = golongan terampil) ditandai oleh kemahiran masyarakat membuat perkakas fungsional dan ritual berbahan logam (perunggu dan besi).</w:t>
      </w:r>
    </w:p>
    <w:p>
      <w:pPr>
        <w:spacing w:before="80" w:after="40"/>
        <w:ind w:left="216"/>
      </w:pPr>
      <w:r>
        <w:rPr>
          <w:rFonts w:ascii="Calibri" w:hAnsi="Calibri"/>
          <w:b/>
          <w:color w:val="000000"/>
          <w:sz w:val="19"/>
        </w:rPr>
        <w:t xml:space="preserve">2. </w:t>
      </w:r>
      <w:r>
        <w:rPr>
          <w:rFonts w:ascii="Calibri" w:hAnsi="Calibri"/>
          <w:b w:val="0"/>
          <w:i w:val="0"/>
          <w:color w:val="000000"/>
          <w:sz w:val="19"/>
        </w:rPr>
        <w:t>Peninggalan zaman megalitikum berupa meja batu berkaki yang digunakan sebagai tempat meletakkan sesaji pemujaan disebut...</w:t>
      </w:r>
    </w:p>
    <w:p>
      <w:pPr>
        <w:spacing w:before="0" w:after="20"/>
        <w:ind w:left="576"/>
      </w:pPr>
      <w:r>
        <w:rPr>
          <w:rFonts w:ascii="Calibri" w:hAnsi="Calibri"/>
          <w:b w:val="0"/>
          <w:i w:val="0"/>
          <w:color w:val="000000"/>
          <w:sz w:val="18"/>
        </w:rPr>
        <w:t>Menhir</w:t>
      </w:r>
    </w:p>
    <w:p>
      <w:pPr>
        <w:spacing w:before="0" w:after="20"/>
        <w:ind w:left="576"/>
      </w:pPr>
      <w:r>
        <w:rPr>
          <w:rFonts w:ascii="Calibri" w:hAnsi="Calibri"/>
          <w:b w:val="0"/>
          <w:i w:val="0"/>
          <w:color w:val="000000"/>
          <w:sz w:val="18"/>
        </w:rPr>
        <w:t>Dolmen</w:t>
      </w:r>
    </w:p>
    <w:p>
      <w:pPr>
        <w:spacing w:before="0" w:after="20"/>
        <w:ind w:left="576"/>
      </w:pPr>
      <w:r>
        <w:rPr>
          <w:rFonts w:ascii="Calibri" w:hAnsi="Calibri"/>
          <w:b w:val="0"/>
          <w:i w:val="0"/>
          <w:color w:val="000000"/>
          <w:sz w:val="18"/>
        </w:rPr>
        <w:t>Sarkofagus</w:t>
      </w:r>
    </w:p>
    <w:p>
      <w:pPr>
        <w:spacing w:before="0" w:after="20"/>
        <w:ind w:left="576"/>
      </w:pPr>
      <w:r>
        <w:rPr>
          <w:rFonts w:ascii="Calibri" w:hAnsi="Calibri"/>
          <w:b w:val="0"/>
          <w:i w:val="0"/>
          <w:color w:val="000000"/>
          <w:sz w:val="18"/>
        </w:rPr>
        <w:t>Waruga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Dolmen adalah meja batu berkaki batu yang berfungsi sebagai tempat meletakkan sesaji pemujaan kepada roh nenek moyang pada zaman megalitikum.</w:t>
      </w:r>
    </w:p>
    <w:p>
      <w:pPr>
        <w:spacing w:before="80" w:after="40"/>
        <w:ind w:left="216"/>
      </w:pPr>
      <w:r>
        <w:rPr>
          <w:rFonts w:ascii="Calibri" w:hAnsi="Calibri"/>
          <w:b/>
          <w:color w:val="000000"/>
          <w:sz w:val="19"/>
        </w:rPr>
        <w:t xml:space="preserve">3. </w:t>
      </w:r>
      <w:r>
        <w:rPr>
          <w:rFonts w:ascii="Calibri" w:hAnsi="Calibri"/>
          <w:b w:val="0"/>
          <w:i w:val="0"/>
          <w:color w:val="000000"/>
          <w:sz w:val="19"/>
        </w:rPr>
        <w:t>Pola permukiman penduduk di wilayah pegunungan kapur karst yang sumber airnya terbatas umumnya memiliki pola...</w:t>
      </w:r>
    </w:p>
    <w:p>
      <w:pPr>
        <w:spacing w:before="0" w:after="20"/>
        <w:ind w:left="576"/>
      </w:pPr>
      <w:r>
        <w:rPr>
          <w:rFonts w:ascii="Calibri" w:hAnsi="Calibri"/>
          <w:b w:val="0"/>
          <w:i w:val="0"/>
          <w:color w:val="000000"/>
          <w:sz w:val="18"/>
        </w:rPr>
        <w:t>Memanjang mengikuti garis pantai</w:t>
      </w:r>
    </w:p>
    <w:p>
      <w:pPr>
        <w:spacing w:before="0" w:after="20"/>
        <w:ind w:left="576"/>
      </w:pPr>
      <w:r>
        <w:rPr>
          <w:rFonts w:ascii="Calibri" w:hAnsi="Calibri"/>
          <w:b w:val="0"/>
          <w:i w:val="0"/>
          <w:color w:val="000000"/>
          <w:sz w:val="18"/>
        </w:rPr>
        <w:t>Memusat mengelilingi mata air atau telaga</w:t>
      </w:r>
    </w:p>
    <w:p>
      <w:pPr>
        <w:spacing w:before="0" w:after="20"/>
        <w:ind w:left="576"/>
      </w:pPr>
      <w:r>
        <w:rPr>
          <w:rFonts w:ascii="Calibri" w:hAnsi="Calibri"/>
          <w:b w:val="0"/>
          <w:i w:val="0"/>
          <w:color w:val="000000"/>
          <w:sz w:val="18"/>
        </w:rPr>
        <w:t>Linier sejajar jalan raya</w:t>
      </w:r>
    </w:p>
    <w:p>
      <w:pPr>
        <w:spacing w:before="0" w:after="20"/>
        <w:ind w:left="576"/>
      </w:pPr>
      <w:r>
        <w:rPr>
          <w:rFonts w:ascii="Calibri" w:hAnsi="Calibri"/>
          <w:b w:val="0"/>
          <w:i w:val="0"/>
          <w:color w:val="000000"/>
          <w:sz w:val="18"/>
        </w:rPr>
        <w:t>Tersebar merata di seluruh lembah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 daerah kapur yang kering, permukiman penduduk cenderung memusat (*nucleated*) di sekitar sumber daya air yang langka seperti danau karst (dolina) atau mata air.</w:t>
      </w:r>
    </w:p>
    <w:p>
      <w:pPr>
        <w:spacing w:before="80" w:after="40"/>
        <w:ind w:left="216"/>
      </w:pPr>
      <w:r>
        <w:rPr>
          <w:rFonts w:ascii="Calibri" w:hAnsi="Calibri"/>
          <w:b/>
          <w:color w:val="000000"/>
          <w:sz w:val="19"/>
        </w:rPr>
        <w:t xml:space="preserve">4. </w:t>
      </w:r>
      <w:r>
        <w:rPr>
          <w:rFonts w:ascii="Calibri" w:hAnsi="Calibri"/>
          <w:b w:val="0"/>
          <w:i w:val="0"/>
          <w:color w:val="000000"/>
          <w:sz w:val="19"/>
        </w:rPr>
        <w:t>Kearifan lokal masyarakat Bali dalam pengelolaan irigasi sawah terasering secara gotong royong dan adil dikenal dengan nama...</w:t>
      </w:r>
    </w:p>
    <w:p>
      <w:pPr>
        <w:spacing w:before="0" w:after="20"/>
        <w:ind w:left="576"/>
      </w:pPr>
      <w:r>
        <w:rPr>
          <w:rFonts w:ascii="Calibri" w:hAnsi="Calibri"/>
          <w:b w:val="0"/>
          <w:i w:val="0"/>
          <w:color w:val="000000"/>
          <w:sz w:val="18"/>
        </w:rPr>
        <w:t>Subak</w:t>
      </w:r>
    </w:p>
    <w:p>
      <w:pPr>
        <w:spacing w:before="0" w:after="20"/>
        <w:ind w:left="576"/>
      </w:pPr>
      <w:r>
        <w:rPr>
          <w:rFonts w:ascii="Calibri" w:hAnsi="Calibri"/>
          <w:b w:val="0"/>
          <w:i w:val="0"/>
          <w:color w:val="000000"/>
          <w:sz w:val="18"/>
        </w:rPr>
        <w:t>Pranata Mangsa</w:t>
      </w:r>
    </w:p>
    <w:p>
      <w:pPr>
        <w:spacing w:before="0" w:after="20"/>
        <w:ind w:left="576"/>
      </w:pPr>
      <w:r>
        <w:rPr>
          <w:rFonts w:ascii="Calibri" w:hAnsi="Calibri"/>
          <w:b w:val="0"/>
          <w:i w:val="0"/>
          <w:color w:val="000000"/>
          <w:sz w:val="18"/>
        </w:rPr>
        <w:t>Nyabuk Gunung</w:t>
      </w:r>
    </w:p>
    <w:p>
      <w:pPr>
        <w:spacing w:before="0" w:after="20"/>
        <w:ind w:left="576"/>
      </w:pPr>
      <w:r>
        <w:rPr>
          <w:rFonts w:ascii="Calibri" w:hAnsi="Calibri"/>
          <w:b w:val="0"/>
          <w:i w:val="0"/>
          <w:color w:val="000000"/>
          <w:sz w:val="18"/>
        </w:rPr>
        <w:t>Hutan Larangan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Subak adalah sistem irigasi pertanian komunal masyarakat Bali yang berlandaskan filosofi Tri Hita Karana dan telah diakui sebagai warisan budaya dunia oleh UNESCO.</w:t>
      </w:r>
    </w:p>
    <w:p>
      <w:pPr>
        <w:spacing w:before="80" w:after="40"/>
        <w:ind w:left="216"/>
      </w:pPr>
      <w:r>
        <w:rPr>
          <w:rFonts w:ascii="Calibri" w:hAnsi="Calibri"/>
          <w:b/>
          <w:color w:val="000000"/>
          <w:sz w:val="19"/>
        </w:rPr>
        <w:t xml:space="preserve">5. </w:t>
      </w:r>
      <w:r>
        <w:rPr>
          <w:rFonts w:ascii="Calibri" w:hAnsi="Calibri"/>
          <w:b w:val="0"/>
          <w:i w:val="0"/>
          <w:color w:val="000000"/>
          <w:sz w:val="19"/>
        </w:rPr>
        <w:t>Dampak negatif penambangan pasir liar di daerah aliran sungai terhadap kelestarian lingkungan adalah...</w:t>
      </w:r>
    </w:p>
    <w:p>
      <w:pPr>
        <w:spacing w:before="0" w:after="20"/>
        <w:ind w:left="576"/>
      </w:pPr>
      <w:r>
        <w:rPr>
          <w:rFonts w:ascii="Calibri" w:hAnsi="Calibri"/>
          <w:b w:val="0"/>
          <w:i w:val="0"/>
          <w:color w:val="000000"/>
          <w:sz w:val="18"/>
        </w:rPr>
        <w:t>Meningkatnya kesuburan tanah persawahan di hilir</w:t>
      </w:r>
    </w:p>
    <w:p>
      <w:pPr>
        <w:spacing w:before="0" w:after="20"/>
        <w:ind w:left="576"/>
      </w:pPr>
      <w:r>
        <w:rPr>
          <w:rFonts w:ascii="Calibri" w:hAnsi="Calibri"/>
          <w:b w:val="0"/>
          <w:i w:val="0"/>
          <w:color w:val="000000"/>
          <w:sz w:val="18"/>
        </w:rPr>
        <w:t>Terjadinya pendalaman dasar sungai dan rusaknya pondasi jembatan serta tanggul</w:t>
      </w:r>
    </w:p>
    <w:p>
      <w:pPr>
        <w:spacing w:before="0" w:after="20"/>
        <w:ind w:left="576"/>
      </w:pPr>
      <w:r>
        <w:rPr>
          <w:rFonts w:ascii="Calibri" w:hAnsi="Calibri"/>
          <w:b w:val="0"/>
          <w:i w:val="0"/>
          <w:color w:val="000000"/>
          <w:sz w:val="18"/>
        </w:rPr>
        <w:t>Menurunnya debit air limpasan banjir</w:t>
      </w:r>
    </w:p>
    <w:p>
      <w:pPr>
        <w:spacing w:before="0" w:after="20"/>
        <w:ind w:left="576"/>
      </w:pPr>
      <w:r>
        <w:rPr>
          <w:rFonts w:ascii="Calibri" w:hAnsi="Calibri"/>
          <w:b w:val="0"/>
          <w:i w:val="0"/>
          <w:color w:val="000000"/>
          <w:sz w:val="18"/>
        </w:rPr>
        <w:t>Bertambahnya keanekaragaman ikan endemik sungai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Pengambilan pasir berlebih merusak morfologi alami dasar sungai, menyebabkan erosi tebing sungai, serta meruntuhkan struktur pondasi jembatan dan tanggul penahan banjir.</w:t>
      </w:r>
    </w:p>
    <w:p>
      <w:r>
        <w:br w:type="page"/>
      </w:r>
    </w:p>
    <w:p>
      <w:pPr>
        <w:pStyle w:val="Title"/>
      </w:pPr>
      <w:r>
        <w:t>LEMBAR KERJA PESERTA DIDIK (LKPD)</w:t>
      </w:r>
    </w:p>
    <w:p>
      <w:pPr>
        <w:pStyle w:val="Subtitle"/>
      </w:pPr>
      <w:r>
        <w:t>Mata Pelajaran: Ilmu Pengetahuan Sosial • Bab 2: Keberagaman Lingkungan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Interaksi Manusia dan Bentang Alam</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adaptasi aktivitas ekonomi masyarakat pesisir, dataran rendah, dan pegunungan.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Kehidupan Masyarakat Masa Praaksara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Menelusuri corak kehidupan berburu, bercocok tanam, perundagian, dan peninggalan megalitikum.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Potensi Sumber Daya Alam dan Pencemaran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sumber daya hayati/nonhayati serta dampak kerusakan lingkungan hidup.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Pelestarian Lingkungan Berbasis Kearifan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sistem subak, hutan larangan, dan tradisi lokal dalam konservasi alam.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Bentang alam Indonesia yang bervariasi dari dataran rendah, perbukitan, hingga pesisir pantai memengaruhi pola mata pencaharian, adat istiadat, dan teknologi adaptasi masyarakat setempat. Interaksi manusia dengan alam bersifat timbal balik dan saling memengaruhi.</w:t>
      </w:r>
    </w:p>
    <w:p>
      <w:pPr>
        <w:spacing w:before="40" w:after="60" w:line="276" w:lineRule="auto"/>
      </w:pPr>
      <w:r>
        <w:rPr>
          <w:rFonts w:ascii="Calibri" w:hAnsi="Calibri"/>
          <w:b w:val="0"/>
          <w:i w:val="0"/>
          <w:color w:val="000000"/>
          <w:sz w:val="19"/>
        </w:rPr>
        <w:t>Sejarah interaksi sosial di kepulauan Nusantara telah berlangsung sejak masa praaksara (berburu-meramu, bercocok tanam, hingga perundagian) yang melahirkan tradisi megalitikum dan teknologi pengolahan logam purba. Nilai gotong royong dan penghormatan terhadap alam telah mengakar kuat sejak masa tersebut.</w:t>
      </w:r>
    </w:p>
    <w:p>
      <w:pPr>
        <w:spacing w:before="40" w:after="60" w:line="276" w:lineRule="auto"/>
      </w:pPr>
      <w:r>
        <w:rPr>
          <w:rFonts w:ascii="Calibri" w:hAnsi="Calibri"/>
          <w:b w:val="0"/>
          <w:i w:val="0"/>
          <w:color w:val="000000"/>
          <w:sz w:val="19"/>
        </w:rPr>
        <w:t>Eksploitasi sumber daya alam berlebihan memicu pencemaran air, tanah, dan udara serta penurunan keanekaragaman hayati. Pelestarian lingkungan berbasis kearifan lokal tradisional menjadi solusi berkelanjutan dalam menjaga keseimbangan ekologis antar-generasi.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Masa Praaksara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Masa dalam sejarah kehidupan manusia sebelum mengenal tulisan atau aksara tertulis.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Masa Perundagian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Periode akhir masa praaksara ketika masyarakat telah mengenal pembagian kerja dan keahlian teknik peleburan logam.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Menhir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Tugu batu tunggal peninggalan tradisi megalitikum yang berfungsi sebagai sarana pemujaan arwah nenek moyang.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Kearifan Lokal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norma, dan tata cara tradisional yang dihayati komunitas masyarakat untuk mengelola lingkungan secara lestari.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 Subak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Organisasi kemasyarakatan tradisional di Bali yang khusus mengatur sistem irigasi persawahan secara adil dan demokratis.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