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GEOGRAFI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Geografi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Konsep Penataan Ruang Wilayah dan Teori Pusat Pertumbuhan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konsep wilayah (*region* formal vs fungsional/nodal) dan perwilayahan (*regionalisasi*) di Indonesia.</w:t>
      </w:r>
    </w:p>
    <w:p>
      <w:pPr>
        <w:pStyle w:val="ListNumber"/>
      </w:pPr>
      <w:r>
        <w:rPr>
          <w:rFonts w:ascii="Calibri" w:hAnsi="Calibri"/>
          <w:b w:val="0"/>
          <w:i w:val="0"/>
          <w:color w:val="000000"/>
          <w:sz w:val="19"/>
        </w:rPr>
        <w:t>Menganalisis teori-teori pusat pertumbuhan (*Growth Pole Theory* François Perroux, Teori Tempat Sentral Walter Christaller, Teori Polarisasi Gunnar Myrdal, dan Teori Trickle-Down Albert Hirschman).</w:t>
      </w:r>
    </w:p>
    <w:p>
      <w:pPr>
        <w:pStyle w:val="ListNumber"/>
      </w:pPr>
      <w:r>
        <w:rPr>
          <w:rFonts w:ascii="Calibri" w:hAnsi="Calibri"/>
          <w:b w:val="0"/>
          <w:i w:val="0"/>
          <w:color w:val="000000"/>
          <w:sz w:val="19"/>
        </w:rPr>
        <w:t>Mengevaluasi hierarki Rencana Tata Ruang Wilayah (RTRWN, RTRWP, RTRWK) serta permasalahan penataan ruang wilayah di Indonesia.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konsep wilayah (formal &amp; fungsional), tata ruang nasional (RTRW), teori pusat pertumbuhan (Christaller, Perroux, Myrdal, Hirschman), dan ketimpangan spasial.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Wilayah, Pewilayahan, dan Klasifikasi Region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Karakteristik wilayah formal/homogen, wilayah fungsional/nodal, wilayah perseptual, dan metode delimitasi perwilayahan.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Teori Pusat Pertumbuhan dan Perkembangan Spasial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Teori Tempat Sentral Christaller (Threshold &amp; Range), Growth Pole Perroux, Backwash vs Spread Effect Myrdal, dan Teori Polarisasi Spasial.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Rencana Tata Ruang Wilayah (RTRW) dan Evaluasi Pembangunan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Hierarki RTRWN, RTRWP, RTRWK, RDTR, zonasi kawasan lindung-budidaya, dan mitigasi alih fungsi lahan agraris.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Kawasan metropolitan Jabodetabek (Jakarta, Bogor, Depok, Tangerang, Bekasi) di mana Jakarta bertindak sebagai inti aktivitas ekonomi dan kota-kota sekitarnya sebagai penyangga komuter merupakan contoh dari...</w:t>
      </w:r>
    </w:p>
    <w:p>
      <w:pPr>
        <w:spacing w:before="0" w:after="20"/>
        <w:ind w:left="576"/>
      </w:pPr>
      <w:r>
        <w:rPr>
          <w:rFonts w:ascii="Calibri" w:hAnsi="Calibri"/>
          <w:b w:val="0"/>
          <w:i w:val="0"/>
          <w:color w:val="000000"/>
          <w:sz w:val="18"/>
        </w:rPr>
        <w:t>A. Wilayah Formal</w:t>
      </w:r>
    </w:p>
    <w:p>
      <w:pPr>
        <w:spacing w:before="0" w:after="20"/>
        <w:ind w:left="576"/>
      </w:pPr>
      <w:r>
        <w:rPr>
          <w:rFonts w:ascii="Calibri" w:hAnsi="Calibri"/>
          <w:b w:val="0"/>
          <w:i w:val="0"/>
          <w:color w:val="000000"/>
          <w:sz w:val="18"/>
        </w:rPr>
        <w:t>B. Wilayah Fungsional (Nodal Region)</w:t>
      </w:r>
    </w:p>
    <w:p>
      <w:pPr>
        <w:spacing w:before="0" w:after="20"/>
        <w:ind w:left="576"/>
      </w:pPr>
      <w:r>
        <w:rPr>
          <w:rFonts w:ascii="Calibri" w:hAnsi="Calibri"/>
          <w:b w:val="0"/>
          <w:i w:val="0"/>
          <w:color w:val="000000"/>
          <w:sz w:val="18"/>
        </w:rPr>
        <w:t>C. Wilayah Geologis Homogen</w:t>
      </w:r>
    </w:p>
    <w:p>
      <w:pPr>
        <w:spacing w:before="0" w:after="20"/>
        <w:ind w:left="576"/>
      </w:pPr>
      <w:r>
        <w:rPr>
          <w:rFonts w:ascii="Calibri" w:hAnsi="Calibri"/>
          <w:b w:val="0"/>
          <w:i w:val="0"/>
          <w:color w:val="000000"/>
          <w:sz w:val="18"/>
        </w:rPr>
        <w:t>D. Wilayah Administratif Tertutup</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Wilayah fungsional dicirikan oleh adanya heterogenitas fisik namun diikat oleh interaksi, konektivitas transportasi, dan arus pergerakan fungsional yang kuat antara inti (*core*) dan daerah penopang (*hinterland*).</w:t>
      </w:r>
    </w:p>
    <w:p>
      <w:pPr>
        <w:spacing w:before="80" w:after="40"/>
        <w:ind w:left="216"/>
      </w:pPr>
      <w:r>
        <w:rPr>
          <w:rFonts w:ascii="Calibri" w:hAnsi="Calibri"/>
          <w:b/>
          <w:color w:val="000000"/>
          <w:sz w:val="19"/>
        </w:rPr>
        <w:t xml:space="preserve">2. </w:t>
      </w:r>
      <w:r>
        <w:rPr>
          <w:rFonts w:ascii="Calibri" w:hAnsi="Calibri"/>
          <w:b w:val="0"/>
          <w:i w:val="0"/>
          <w:color w:val="000000"/>
          <w:sz w:val="19"/>
        </w:rPr>
        <w:t xml:space="preserve">Dalam Teori Tempat Sentral Walter Christaller, hierarki </w:t>
      </w:r>
      <m:oMath>
        <m:r>
          <m:t>K</m:t>
        </m:r>
        <m:r>
          <m:t>=</m:t>
        </m:r>
        <m:r>
          <m:t>3</m:t>
        </m:r>
      </m:oMath>
      <w:r>
        <w:rPr>
          <w:rFonts w:ascii="Calibri" w:hAnsi="Calibri"/>
          <w:b w:val="0"/>
          <w:i w:val="0"/>
          <w:color w:val="000000"/>
          <w:sz w:val="19"/>
        </w:rPr>
        <w:t xml:space="preserve"> merepresentasikan kondisi wilayah tempat sentral yang berorientasi pada...</w:t>
      </w:r>
    </w:p>
    <w:p>
      <w:pPr>
        <w:spacing w:before="0" w:after="20"/>
        <w:ind w:left="576"/>
      </w:pPr>
      <w:r>
        <w:rPr>
          <w:rFonts w:ascii="Calibri" w:hAnsi="Calibri"/>
          <w:b w:val="0"/>
          <w:i w:val="0"/>
          <w:color w:val="000000"/>
          <w:sz w:val="18"/>
        </w:rPr>
        <w:t>A. Kasus Pasar Optimum (Penyediaan barang kebutuhan optimum)</w:t>
      </w:r>
    </w:p>
    <w:p>
      <w:pPr>
        <w:spacing w:before="0" w:after="20"/>
        <w:ind w:left="576"/>
      </w:pPr>
      <w:r>
        <w:rPr>
          <w:rFonts w:ascii="Calibri" w:hAnsi="Calibri"/>
          <w:b w:val="0"/>
          <w:i w:val="0"/>
          <w:color w:val="000000"/>
          <w:sz w:val="18"/>
        </w:rPr>
        <w:t>B. Situasi Lalu Lintas / Transportasi Optimum (</w:t>
      </w:r>
      <m:oMath>
        <m:r>
          <m:t>K</m:t>
        </m:r>
        <m:r>
          <m:t>=</m:t>
        </m:r>
        <m:r>
          <m:t>4</m:t>
        </m:r>
      </m:oMath>
      <w:r>
        <w:rPr>
          <w:rFonts w:ascii="Calibri" w:hAnsi="Calibri"/>
          <w:b w:val="0"/>
          <w:i w:val="0"/>
          <w:color w:val="000000"/>
          <w:sz w:val="18"/>
        </w:rPr>
        <w:t>)</w:t>
      </w:r>
    </w:p>
    <w:p>
      <w:pPr>
        <w:spacing w:before="0" w:after="20"/>
        <w:ind w:left="576"/>
      </w:pPr>
      <w:r>
        <w:rPr>
          <w:rFonts w:ascii="Calibri" w:hAnsi="Calibri"/>
          <w:b w:val="0"/>
          <w:i w:val="0"/>
          <w:color w:val="000000"/>
          <w:sz w:val="18"/>
        </w:rPr>
        <w:t>C. Situasi Administrasi Pemerintahan Optimum (</w:t>
      </w:r>
      <m:oMath>
        <m:r>
          <m:t>K</m:t>
        </m:r>
        <m:r>
          <m:t>=</m:t>
        </m:r>
        <m:r>
          <m:t>7</m:t>
        </m:r>
      </m:oMath>
      <w:r>
        <w:rPr>
          <w:rFonts w:ascii="Calibri" w:hAnsi="Calibri"/>
          <w:b w:val="0"/>
          <w:i w:val="0"/>
          <w:color w:val="000000"/>
          <w:sz w:val="18"/>
        </w:rPr>
        <w:t>)</w:t>
      </w:r>
    </w:p>
    <w:p>
      <w:pPr>
        <w:spacing w:before="0" w:after="20"/>
        <w:ind w:left="576"/>
      </w:pPr>
      <w:r>
        <w:rPr>
          <w:rFonts w:ascii="Calibri" w:hAnsi="Calibri"/>
          <w:b w:val="0"/>
          <w:i w:val="0"/>
          <w:color w:val="000000"/>
          <w:sz w:val="18"/>
        </w:rPr>
        <w:t>D. Kawasan Hutan Lindung</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 xml:space="preserve">Hierarki </w:t>
      </w:r>
      <m:oMath>
        <m:r>
          <m:t>K</m:t>
        </m:r>
        <m:r>
          <m:t>=</m:t>
        </m:r>
        <m:r>
          <m:t>3</m:t>
        </m:r>
      </m:oMath>
      <w:r>
        <w:rPr>
          <w:rFonts w:ascii="Calibri" w:hAnsi="Calibri"/>
          <w:b w:val="0"/>
          <w:i/>
          <w:color w:val="64748B"/>
          <w:sz w:val="17"/>
        </w:rPr>
        <w:t xml:space="preserve"> adalah asas pasar optimum di mana tempat sentral melayani </w:t>
      </w:r>
      <m:oMath>
        <m:r>
          <m:t>1</m:t>
        </m:r>
        <m:r>
          <m:t>/</m:t>
        </m:r>
        <m:r>
          <m:t>3</m:t>
        </m:r>
      </m:oMath>
      <w:r>
        <w:rPr>
          <w:rFonts w:ascii="Calibri" w:hAnsi="Calibri"/>
          <w:b w:val="0"/>
          <w:i/>
          <w:color w:val="64748B"/>
          <w:sz w:val="17"/>
        </w:rPr>
        <w:t xml:space="preserve"> bagian dari enam wilayah tetangga di sekelilingnya selain melayani wilayahnya sendiri (</w:t>
      </w:r>
      <m:oMath>
        <m:r>
          <m:t>1</m:t>
        </m:r>
        <m:r>
          <m:t>+</m:t>
        </m:r>
        <m:r>
          <m:t>6</m:t>
        </m:r>
        <m:r>
          <m:t>×</m:t>
        </m:r>
        <m:r>
          <m:t>1</m:t>
        </m:r>
        <m:r>
          <m:t>/</m:t>
        </m:r>
        <m:r>
          <m:t>3</m:t>
        </m:r>
        <m:r>
          <m:t>=</m:t>
        </m:r>
        <m:r>
          <m:t>3</m:t>
        </m:r>
      </m:oMath>
      <w:r>
        <w:rPr>
          <w:rFonts w:ascii="Calibri" w:hAnsi="Calibri"/>
          <w:b w:val="0"/>
          <w:i/>
          <w:color w:val="64748B"/>
          <w:sz w:val="17"/>
        </w:rPr>
        <w:t>).</w:t>
      </w:r>
    </w:p>
    <w:p>
      <w:pPr>
        <w:spacing w:before="80" w:after="40"/>
        <w:ind w:left="216"/>
      </w:pPr>
      <w:r>
        <w:rPr>
          <w:rFonts w:ascii="Calibri" w:hAnsi="Calibri"/>
          <w:b/>
          <w:color w:val="000000"/>
          <w:sz w:val="19"/>
        </w:rPr>
        <w:t xml:space="preserve">3. </w:t>
      </w:r>
      <w:r>
        <w:rPr>
          <w:rFonts w:ascii="Calibri" w:hAnsi="Calibri"/>
          <w:b w:val="0"/>
          <w:i w:val="0"/>
          <w:color w:val="000000"/>
          <w:sz w:val="19"/>
        </w:rPr>
        <w:t>Menurut Gunnar Myrdal dalam Teori Dampak Kumulatif Sirkular, fenomena ketika pertumbuhan pesat suatu kota metropolitan justru menyebabkan terkurasnya tenaga kerja produktif dan modal uang dari desa-desa sekitar dinamakan...</w:t>
      </w:r>
    </w:p>
    <w:p>
      <w:pPr>
        <w:spacing w:before="0" w:after="20"/>
        <w:ind w:left="576"/>
      </w:pPr>
      <w:r>
        <w:rPr>
          <w:rFonts w:ascii="Calibri" w:hAnsi="Calibri"/>
          <w:b w:val="0"/>
          <w:i w:val="0"/>
          <w:color w:val="000000"/>
          <w:sz w:val="18"/>
        </w:rPr>
        <w:t>A. Spread Effect</w:t>
      </w:r>
    </w:p>
    <w:p>
      <w:pPr>
        <w:spacing w:before="0" w:after="20"/>
        <w:ind w:left="576"/>
      </w:pPr>
      <w:r>
        <w:rPr>
          <w:rFonts w:ascii="Calibri" w:hAnsi="Calibri"/>
          <w:b w:val="0"/>
          <w:i w:val="0"/>
          <w:color w:val="000000"/>
          <w:sz w:val="18"/>
        </w:rPr>
        <w:t>B. Backwash Effect (Efek Polarisasi Balik)</w:t>
      </w:r>
    </w:p>
    <w:p>
      <w:pPr>
        <w:spacing w:before="0" w:after="20"/>
        <w:ind w:left="576"/>
      </w:pPr>
      <w:r>
        <w:rPr>
          <w:rFonts w:ascii="Calibri" w:hAnsi="Calibri"/>
          <w:b w:val="0"/>
          <w:i w:val="0"/>
          <w:color w:val="000000"/>
          <w:sz w:val="18"/>
        </w:rPr>
        <w:t>C. Trickle-Down Effect</w:t>
      </w:r>
    </w:p>
    <w:p>
      <w:pPr>
        <w:spacing w:before="0" w:after="20"/>
        <w:ind w:left="576"/>
      </w:pPr>
      <w:r>
        <w:rPr>
          <w:rFonts w:ascii="Calibri" w:hAnsi="Calibri"/>
          <w:b w:val="0"/>
          <w:i w:val="0"/>
          <w:color w:val="000000"/>
          <w:sz w:val="18"/>
        </w:rPr>
        <w:t>D. Aglomerasi Positif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*Backwash effect* adalah penarikan sumber daya (brain drain, capital outflow) dari wilayah hinterland ke pusat kota, yang memperdalam ketimpangan wilayah jika tidak diintervensi oleh kebijakan desentralisasi.</w:t>
      </w:r>
    </w:p>
    <w:p>
      <w:pPr>
        <w:spacing w:before="80" w:after="40"/>
        <w:ind w:left="216"/>
      </w:pPr>
      <w:r>
        <w:rPr>
          <w:rFonts w:ascii="Calibri" w:hAnsi="Calibri"/>
          <w:b/>
          <w:color w:val="000000"/>
          <w:sz w:val="19"/>
        </w:rPr>
        <w:t xml:space="preserve">4. </w:t>
      </w:r>
      <w:r>
        <w:rPr>
          <w:rFonts w:ascii="Calibri" w:hAnsi="Calibri"/>
          <w:b w:val="0"/>
          <w:i w:val="0"/>
          <w:color w:val="000000"/>
          <w:sz w:val="19"/>
        </w:rPr>
        <w:t>Jarak maksimum yang rela ditempuh oleh konsumen dari tempat tinggalnya untuk memperoleh suatu barang atau layanan jasa tertentu di pasar dinamakan...</w:t>
      </w:r>
    </w:p>
    <w:p>
      <w:pPr>
        <w:spacing w:before="0" w:after="20"/>
        <w:ind w:left="576"/>
      </w:pPr>
      <w:r>
        <w:rPr>
          <w:rFonts w:ascii="Calibri" w:hAnsi="Calibri"/>
          <w:b w:val="0"/>
          <w:i w:val="0"/>
          <w:color w:val="000000"/>
          <w:sz w:val="18"/>
        </w:rPr>
        <w:t>A. Range (Jangkauan)</w:t>
      </w:r>
    </w:p>
    <w:p>
      <w:pPr>
        <w:spacing w:before="0" w:after="20"/>
        <w:ind w:left="576"/>
      </w:pPr>
      <w:r>
        <w:rPr>
          <w:rFonts w:ascii="Calibri" w:hAnsi="Calibri"/>
          <w:b w:val="0"/>
          <w:i w:val="0"/>
          <w:color w:val="000000"/>
          <w:sz w:val="18"/>
        </w:rPr>
        <w:t>B. Threshold (Ambang Batas)</w:t>
      </w:r>
    </w:p>
    <w:p>
      <w:pPr>
        <w:spacing w:before="0" w:after="20"/>
        <w:ind w:left="576"/>
      </w:pPr>
      <w:r>
        <w:rPr>
          <w:rFonts w:ascii="Calibri" w:hAnsi="Calibri"/>
          <w:b w:val="0"/>
          <w:i w:val="0"/>
          <w:color w:val="000000"/>
          <w:sz w:val="18"/>
        </w:rPr>
        <w:t>C. Isoline</w:t>
      </w:r>
    </w:p>
    <w:p>
      <w:pPr>
        <w:spacing w:before="0" w:after="20"/>
        <w:ind w:left="576"/>
      </w:pPr>
      <w:r>
        <w:rPr>
          <w:rFonts w:ascii="Calibri" w:hAnsi="Calibri"/>
          <w:b w:val="0"/>
          <w:i w:val="0"/>
          <w:color w:val="000000"/>
          <w:sz w:val="18"/>
        </w:rPr>
        <w:t>D. Buffer Zone</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*Range* adalah jarak tempuh maksimal yang bersedia dilalui konsumen untuk mendapatkan barang/jasa tertentu. *Threshold* adalah batas minimum jumlah penduduk penopang.</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penyusunan Rencana Detail Tata Ruang (RDTR) pada tingkat kecamatan di wilayah perkotaan adalah...</w:t>
      </w:r>
    </w:p>
    <w:p>
      <w:pPr>
        <w:spacing w:before="0" w:after="20"/>
        <w:ind w:left="576"/>
      </w:pPr>
      <w:r>
        <w:rPr>
          <w:rFonts w:ascii="Calibri" w:hAnsi="Calibri"/>
          <w:b w:val="0"/>
          <w:i w:val="0"/>
          <w:color w:val="000000"/>
          <w:sz w:val="18"/>
        </w:rPr>
        <w:t>A. Menghapus seluruh kepemilikan tanah warga.</w:t>
      </w:r>
    </w:p>
    <w:p>
      <w:pPr>
        <w:spacing w:before="0" w:after="20"/>
        <w:ind w:left="576"/>
      </w:pPr>
      <w:r>
        <w:rPr>
          <w:rFonts w:ascii="Calibri" w:hAnsi="Calibri"/>
          <w:b w:val="0"/>
          <w:i w:val="0"/>
          <w:color w:val="000000"/>
          <w:sz w:val="18"/>
        </w:rPr>
        <w:t>B. Menjadi dasar operasional pemberian izin pemanfaatan ruang (Kesesuaian Kegiatan Pemanfaatan Ruang - KKPR) dan mencegah konflik tata guna lahan.</w:t>
      </w:r>
    </w:p>
    <w:p>
      <w:pPr>
        <w:spacing w:before="0" w:after="20"/>
        <w:ind w:left="576"/>
      </w:pPr>
      <w:r>
        <w:rPr>
          <w:rFonts w:ascii="Calibri" w:hAnsi="Calibri"/>
          <w:b w:val="0"/>
          <w:i w:val="0"/>
          <w:color w:val="000000"/>
          <w:sz w:val="18"/>
        </w:rPr>
        <w:t>C. Mengubah seluruh kota menjadi kawasan industri berat.</w:t>
      </w:r>
    </w:p>
    <w:p>
      <w:pPr>
        <w:spacing w:before="0" w:after="20"/>
        <w:ind w:left="576"/>
      </w:pPr>
      <w:r>
        <w:rPr>
          <w:rFonts w:ascii="Calibri" w:hAnsi="Calibri"/>
          <w:b w:val="0"/>
          <w:i w:val="0"/>
          <w:color w:val="000000"/>
          <w:sz w:val="18"/>
        </w:rPr>
        <w:t>D. Menentukan tarif tiket pesawat internasional.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RDTR merupakan rencana rinci tata ruang yang dilengkapi peraturan zonasi sebagai instrumen operasional perizinan bangunan dan pengendalian tata ruang di tingkat mikro.</w:t>
      </w:r>
    </w:p>
    <w:p>
      <w:r>
        <w:br w:type="page"/>
      </w:r>
    </w:p>
    <w:p>
      <w:pPr>
        <w:pStyle w:val="Title"/>
      </w:pPr>
      <w:r>
        <w:t>LEMBAR KERJA PESERTA DIDIK (LKPD)</w:t>
      </w:r>
    </w:p>
    <w:p>
      <w:pPr>
        <w:pStyle w:val="Subtitle"/>
      </w:pPr>
      <w:r>
        <w:t>Mata Pelajaran: Geografi • Bab 1: Konsep Penataan Ruang Wilayah dan Teori Pusat Pertumbuhan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Wilayah, Pewilayahan, dan Klasifikasi Region</w:t>
      </w:r>
    </w:p>
    <w:p>
      <w:pPr>
        <w:spacing w:before="20" w:after="60"/>
        <w:ind w:left="216"/>
      </w:pPr>
      <w:r>
        <w:rPr>
          <w:rFonts w:ascii="Calibri" w:hAnsi="Calibri"/>
          <w:color w:val="000000"/>
          <w:sz w:val="18"/>
        </w:rPr>
        <w:t xml:space="preserve">Petunjuk: </w:t>
      </w:r>
      <w:r>
        <w:rPr>
          <w:rFonts w:ascii="Calibri" w:hAnsi="Calibri"/>
          <w:b w:val="0"/>
          <w:i w:val="0"/>
          <w:color w:val="000000"/>
          <w:sz w:val="18"/>
        </w:rPr>
        <w:t>Karakteristik wilayah formal/homogen, wilayah fungsional/nodal, wilayah perseptual, dan metode delimitasi perwilayahan.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Teori Pusat Pertumbuhan dan Perkembangan Spasial</w:t>
      </w:r>
    </w:p>
    <w:p>
      <w:pPr>
        <w:spacing w:before="20" w:after="60"/>
        <w:ind w:left="216"/>
      </w:pPr>
      <w:r>
        <w:rPr>
          <w:rFonts w:ascii="Calibri" w:hAnsi="Calibri"/>
          <w:color w:val="000000"/>
          <w:sz w:val="18"/>
        </w:rPr>
        <w:t xml:space="preserve">Petunjuk: </w:t>
      </w:r>
      <w:r>
        <w:rPr>
          <w:rFonts w:ascii="Calibri" w:hAnsi="Calibri"/>
          <w:b w:val="0"/>
          <w:i w:val="0"/>
          <w:color w:val="000000"/>
          <w:sz w:val="18"/>
        </w:rPr>
        <w:t>Teori Tempat Sentral Christaller (Threshold &amp; Range), Growth Pole Perroux, Backwash vs Spread Effect Myrdal, dan Teori Polarisasi Spasial.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Rencana Tata Ruang Wilayah (RTRW) dan Evaluasi Pembangunan</w:t>
      </w:r>
    </w:p>
    <w:p>
      <w:pPr>
        <w:spacing w:before="20" w:after="60"/>
        <w:ind w:left="216"/>
      </w:pPr>
      <w:r>
        <w:rPr>
          <w:rFonts w:ascii="Calibri" w:hAnsi="Calibri"/>
          <w:color w:val="000000"/>
          <w:sz w:val="18"/>
        </w:rPr>
        <w:t xml:space="preserve">Petunjuk: </w:t>
      </w:r>
      <w:r>
        <w:rPr>
          <w:rFonts w:ascii="Calibri" w:hAnsi="Calibri"/>
          <w:b w:val="0"/>
          <w:i w:val="0"/>
          <w:color w:val="000000"/>
          <w:sz w:val="18"/>
        </w:rPr>
        <w:t>Hierarki RTRWN, RTRWP, RTRWK, RDTR, zonasi kawasan lindung-budidaya, dan mitigasi alih fungsi lahan agraris.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Geografi wilayah mengkaji diferensiasi spasial, interkoneksi antardaerah, dan pengorganisasian ruang permukaan bumi untuk kesejahteraan manusia. Pada jenjang SMA Kelas 12, peserta didik mempelajari konsep fundamental wilayah formal (berdasarkan keseragaman homogenitas fisik/sosial) versus wilayah fungsional (berdasarkan jaringan nodus dan arus pergerakan barang, jasa, dan informasi).</w:t>
      </w:r>
    </w:p>
    <w:p>
      <w:pPr>
        <w:spacing w:before="40" w:after="60" w:line="276" w:lineRule="auto"/>
      </w:pPr>
      <w:r>
        <w:rPr>
          <w:rFonts w:ascii="Calibri" w:hAnsi="Calibri"/>
          <w:b w:val="0"/>
          <w:i w:val="0"/>
          <w:color w:val="000000"/>
          <w:sz w:val="19"/>
        </w:rPr>
        <w:t xml:space="preserve">Pembelajaran menelaah teori-teori klasik dan modern mengenai pembentukan pusat pertumbuhan (*Growth Pole*): Teori Tempat Sentral Walter Christaller dengan heksagonal hirarki </w:t>
      </w:r>
      <m:oMath>
        <m:r>
          <m:t>K</m:t>
        </m:r>
        <m:r>
          <m:t>=</m:t>
        </m:r>
        <m:r>
          <m:t>3</m:t>
        </m:r>
      </m:oMath>
      <w:r>
        <w:rPr>
          <w:rFonts w:ascii="Calibri" w:hAnsi="Calibri"/>
          <w:b w:val="0"/>
          <w:i w:val="0"/>
          <w:color w:val="000000"/>
          <w:sz w:val="19"/>
        </w:rPr>
        <w:t xml:space="preserve"> (pasar), </w:t>
      </w:r>
      <m:oMath>
        <m:r>
          <m:t>K</m:t>
        </m:r>
        <m:r>
          <m:t>=</m:t>
        </m:r>
        <m:r>
          <m:t>4</m:t>
        </m:r>
      </m:oMath>
      <w:r>
        <w:rPr>
          <w:rFonts w:ascii="Calibri" w:hAnsi="Calibri"/>
          <w:b w:val="0"/>
          <w:i w:val="0"/>
          <w:color w:val="000000"/>
          <w:sz w:val="19"/>
        </w:rPr>
        <w:t xml:space="preserve"> (transportasi), dan </w:t>
      </w:r>
      <m:oMath>
        <m:r>
          <m:t>K</m:t>
        </m:r>
        <m:r>
          <m:t>=</m:t>
        </m:r>
        <m:r>
          <m:t>7</m:t>
        </m:r>
      </m:oMath>
      <w:r>
        <w:rPr>
          <w:rFonts w:ascii="Calibri" w:hAnsi="Calibri"/>
          <w:b w:val="0"/>
          <w:i w:val="0"/>
          <w:color w:val="000000"/>
          <w:sz w:val="19"/>
        </w:rPr>
        <w:t xml:space="preserve"> (administrasi); kutub pertumbuhan François Perroux; serta efek polarisasi balik (*backwash effect*) Gunnar Myrdal yang berpotensi memicu ketimpangan wilayah jika tidak diimbangi oleh rembesan keuntungan ke wilayah hinterland (*spread/trickle-down effect*).</w:t>
      </w:r>
    </w:p>
    <w:p>
      <w:pPr>
        <w:spacing w:before="40" w:after="60" w:line="276" w:lineRule="auto"/>
      </w:pPr>
      <w:r>
        <w:rPr>
          <w:rFonts w:ascii="Calibri" w:hAnsi="Calibri"/>
          <w:b w:val="0"/>
          <w:i w:val="0"/>
          <w:color w:val="000000"/>
          <w:sz w:val="19"/>
        </w:rPr>
        <w:t>Peserta didik juga menganalisis regulasi Undang-Undang Penataan Ruang di Indonesia, hierarki dokumen tata ruang (RTRW Nasional, Provinsi, Kabupaten/Kota), alokasi kawasan lindung versus kawasan budidaya, serta problematik tata ruang riil seperti alih fungsi lahan sawah produktif (*konversi lahan*) dan konflik pemanfaatan ruang.</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Wilayah Formal (Homogen)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Suatu wilayah yang dicirikan oleh adanya keseragaman atau homogenitas kriteria tertentu, seperti kesamaan iklim, bentuk lahan, atau vegetasi.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Wilayah Fungsional (Nodal)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Suatu wilayah yang dicirikan oleh adanya ketergantungan dan interaksi fungsional antara titik pusat (nodus) dengan wilayah sekitarnya (*hinterland*).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Tempat Sentral (Central Place)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Lokasi pusat permukiman yang menyediakan barang dan jasa pelayanan bagi populasi penduduk di wilayah sekitarnya (teori Walter Christaller).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Threshold</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Jumlah minimal populasi penduduk yang diperlukan untuk mendukung keberlangsungan penyediaan suatu jenis barang atau jasa pelayanan tertentu.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Backwash Effect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Dampak negatif dari pusat pertumbuhan yang menyedot sumber daya modal, tenaga kerja terampil, dan bahan mentah dari wilayah pinggiran sehingga memperparah kemunduran daerah sekitar.</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Geografi Kelas 12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